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21015">
        <w:trPr>
          <w:cantSplit/>
        </w:trPr>
        <w:tc>
          <w:tcPr>
            <w:tcW w:w="6911" w:type="dxa"/>
          </w:tcPr>
          <w:p w:rsidR="00F21015" w:rsidRPr="00DF23FC" w:rsidRDefault="00F21015"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F21015" w:rsidRDefault="0044694F" w:rsidP="003B2284">
            <w:pPr>
              <w:spacing w:before="0" w:line="240" w:lineRule="atLeast"/>
              <w:jc w:val="right"/>
            </w:pPr>
            <w:bookmarkStart w:id="0" w:name="ditulogo"/>
            <w:bookmarkEnd w:id="0"/>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95.65pt;height:69.85pt;visibility:visible">
                  <v:imagedata r:id="rId8" o:title=""/>
                </v:shape>
              </w:pict>
            </w:r>
          </w:p>
        </w:tc>
      </w:tr>
      <w:tr w:rsidR="00F21015" w:rsidRPr="00617BE4">
        <w:trPr>
          <w:cantSplit/>
        </w:trPr>
        <w:tc>
          <w:tcPr>
            <w:tcW w:w="6911" w:type="dxa"/>
            <w:tcBorders>
              <w:bottom w:val="single" w:sz="12" w:space="0" w:color="auto"/>
            </w:tcBorders>
          </w:tcPr>
          <w:p w:rsidR="00F21015" w:rsidRPr="003B2284" w:rsidRDefault="00F21015"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F21015" w:rsidRPr="00617BE4" w:rsidRDefault="00F21015" w:rsidP="00A066F1">
            <w:pPr>
              <w:spacing w:before="0" w:line="240" w:lineRule="atLeast"/>
              <w:rPr>
                <w:rFonts w:ascii="Verdana" w:hAnsi="Verdana"/>
                <w:szCs w:val="24"/>
              </w:rPr>
            </w:pPr>
          </w:p>
        </w:tc>
      </w:tr>
      <w:tr w:rsidR="00F21015" w:rsidRPr="00C324A8">
        <w:trPr>
          <w:cantSplit/>
        </w:trPr>
        <w:tc>
          <w:tcPr>
            <w:tcW w:w="6911" w:type="dxa"/>
            <w:tcBorders>
              <w:top w:val="single" w:sz="12" w:space="0" w:color="auto"/>
            </w:tcBorders>
          </w:tcPr>
          <w:p w:rsidR="00F21015" w:rsidRPr="00C324A8" w:rsidRDefault="00F21015" w:rsidP="00A066F1">
            <w:pPr>
              <w:spacing w:before="0" w:after="48" w:line="240" w:lineRule="atLeast"/>
              <w:rPr>
                <w:rFonts w:ascii="Verdana" w:hAnsi="Verdana"/>
                <w:b/>
                <w:smallCaps/>
                <w:sz w:val="20"/>
              </w:rPr>
            </w:pPr>
          </w:p>
        </w:tc>
        <w:tc>
          <w:tcPr>
            <w:tcW w:w="3120" w:type="dxa"/>
            <w:tcBorders>
              <w:top w:val="single" w:sz="12" w:space="0" w:color="auto"/>
            </w:tcBorders>
          </w:tcPr>
          <w:p w:rsidR="00F21015" w:rsidRPr="00C324A8" w:rsidRDefault="00F21015" w:rsidP="00A066F1">
            <w:pPr>
              <w:spacing w:before="0" w:line="240" w:lineRule="atLeast"/>
              <w:rPr>
                <w:rFonts w:ascii="Verdana" w:hAnsi="Verdana"/>
                <w:sz w:val="20"/>
              </w:rPr>
            </w:pPr>
          </w:p>
        </w:tc>
      </w:tr>
      <w:tr w:rsidR="00F21015" w:rsidRPr="00C324A8">
        <w:trPr>
          <w:cantSplit/>
          <w:trHeight w:val="23"/>
        </w:trPr>
        <w:tc>
          <w:tcPr>
            <w:tcW w:w="6911" w:type="dxa"/>
          </w:tcPr>
          <w:p w:rsidR="00F21015" w:rsidRPr="002A110E" w:rsidRDefault="00F21015"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2A110E">
              <w:rPr>
                <w:rFonts w:ascii="Verdana" w:hAnsi="Verdana"/>
                <w:sz w:val="20"/>
                <w:szCs w:val="20"/>
              </w:rPr>
              <w:t>PLENARY MEETING</w:t>
            </w:r>
          </w:p>
        </w:tc>
        <w:tc>
          <w:tcPr>
            <w:tcW w:w="3120" w:type="dxa"/>
          </w:tcPr>
          <w:p w:rsidR="00F21015" w:rsidRPr="00841216" w:rsidRDefault="00F21015" w:rsidP="00AA666F">
            <w:pPr>
              <w:tabs>
                <w:tab w:val="left" w:pos="851"/>
              </w:tabs>
              <w:spacing w:before="0" w:line="240" w:lineRule="atLeast"/>
              <w:rPr>
                <w:rFonts w:ascii="Verdana" w:hAnsi="Verdana"/>
                <w:sz w:val="20"/>
              </w:rPr>
            </w:pPr>
            <w:r>
              <w:rPr>
                <w:rFonts w:ascii="Verdana" w:hAnsi="Verdana"/>
                <w:b/>
                <w:sz w:val="20"/>
              </w:rPr>
              <w:t xml:space="preserve">Addendum </w:t>
            </w:r>
            <w:r w:rsidR="00963FD2">
              <w:rPr>
                <w:rFonts w:ascii="Verdana" w:hAnsi="Verdana"/>
                <w:b/>
                <w:sz w:val="20"/>
              </w:rPr>
              <w:t>1</w:t>
            </w:r>
            <w:r>
              <w:rPr>
                <w:rFonts w:ascii="Verdana" w:hAnsi="Verdana"/>
                <w:b/>
                <w:sz w:val="20"/>
              </w:rPr>
              <w:t xml:space="preserve"> to</w:t>
            </w:r>
            <w:r>
              <w:rPr>
                <w:rFonts w:ascii="Verdana" w:hAnsi="Verdana"/>
                <w:b/>
                <w:sz w:val="20"/>
              </w:rPr>
              <w:br/>
              <w:t>Document 7</w:t>
            </w:r>
            <w:r w:rsidR="00963FD2">
              <w:rPr>
                <w:rFonts w:ascii="Verdana" w:hAnsi="Verdana"/>
                <w:b/>
                <w:sz w:val="20"/>
              </w:rPr>
              <w:t xml:space="preserve"> (Add. 24)</w:t>
            </w:r>
            <w:r w:rsidRPr="00841216">
              <w:rPr>
                <w:rFonts w:ascii="Verdana" w:hAnsi="Verdana"/>
                <w:b/>
                <w:sz w:val="20"/>
              </w:rPr>
              <w:t>-E</w:t>
            </w:r>
          </w:p>
        </w:tc>
      </w:tr>
      <w:tr w:rsidR="00F21015" w:rsidRPr="00C324A8">
        <w:trPr>
          <w:cantSplit/>
          <w:trHeight w:val="23"/>
        </w:trPr>
        <w:tc>
          <w:tcPr>
            <w:tcW w:w="6911" w:type="dxa"/>
          </w:tcPr>
          <w:p w:rsidR="00F21015" w:rsidRPr="00841216" w:rsidRDefault="00F21015"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F21015" w:rsidRPr="00841216" w:rsidRDefault="00F21015" w:rsidP="00A066F1">
            <w:pPr>
              <w:tabs>
                <w:tab w:val="left" w:pos="993"/>
              </w:tabs>
              <w:spacing w:before="0"/>
              <w:rPr>
                <w:rFonts w:ascii="Verdana" w:hAnsi="Verdana"/>
                <w:sz w:val="20"/>
              </w:rPr>
            </w:pPr>
            <w:r>
              <w:rPr>
                <w:rFonts w:ascii="Verdana" w:hAnsi="Verdana"/>
                <w:b/>
                <w:sz w:val="20"/>
              </w:rPr>
              <w:t>2</w:t>
            </w:r>
            <w:r w:rsidRPr="00841216">
              <w:rPr>
                <w:rFonts w:ascii="Verdana" w:hAnsi="Verdana"/>
                <w:b/>
                <w:sz w:val="20"/>
              </w:rPr>
              <w:t>1 August 2015</w:t>
            </w:r>
          </w:p>
        </w:tc>
      </w:tr>
      <w:tr w:rsidR="00F21015" w:rsidRPr="00C324A8">
        <w:trPr>
          <w:cantSplit/>
          <w:trHeight w:val="23"/>
        </w:trPr>
        <w:tc>
          <w:tcPr>
            <w:tcW w:w="6911" w:type="dxa"/>
          </w:tcPr>
          <w:p w:rsidR="00F21015" w:rsidRPr="00841216" w:rsidRDefault="00F21015"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F21015" w:rsidRPr="00841216" w:rsidRDefault="00F21015" w:rsidP="00A066F1">
            <w:pPr>
              <w:tabs>
                <w:tab w:val="left" w:pos="993"/>
              </w:tabs>
              <w:spacing w:before="0"/>
              <w:rPr>
                <w:rFonts w:ascii="Verdana" w:hAnsi="Verdana"/>
                <w:b/>
                <w:sz w:val="20"/>
              </w:rPr>
            </w:pPr>
            <w:r w:rsidRPr="00841216">
              <w:rPr>
                <w:rFonts w:ascii="Verdana" w:hAnsi="Verdana"/>
                <w:b/>
                <w:sz w:val="20"/>
              </w:rPr>
              <w:t>Original: English</w:t>
            </w:r>
          </w:p>
        </w:tc>
      </w:tr>
      <w:tr w:rsidR="00F21015" w:rsidRPr="00C324A8" w:rsidTr="00025864">
        <w:trPr>
          <w:cantSplit/>
          <w:trHeight w:val="23"/>
        </w:trPr>
        <w:tc>
          <w:tcPr>
            <w:tcW w:w="10031" w:type="dxa"/>
            <w:gridSpan w:val="2"/>
          </w:tcPr>
          <w:p w:rsidR="00F21015" w:rsidRPr="00C324A8" w:rsidRDefault="00F21015" w:rsidP="00A066F1">
            <w:pPr>
              <w:tabs>
                <w:tab w:val="left" w:pos="993"/>
              </w:tabs>
              <w:spacing w:before="0"/>
              <w:rPr>
                <w:rFonts w:ascii="Verdana" w:hAnsi="Verdana"/>
                <w:b/>
                <w:sz w:val="20"/>
              </w:rPr>
            </w:pPr>
          </w:p>
        </w:tc>
      </w:tr>
      <w:tr w:rsidR="00F21015" w:rsidRPr="00C324A8" w:rsidTr="00025864">
        <w:trPr>
          <w:cantSplit/>
          <w:trHeight w:val="23"/>
        </w:trPr>
        <w:tc>
          <w:tcPr>
            <w:tcW w:w="10031" w:type="dxa"/>
            <w:gridSpan w:val="2"/>
          </w:tcPr>
          <w:p w:rsidR="00F21015" w:rsidRDefault="00F21015" w:rsidP="00E55816">
            <w:pPr>
              <w:pStyle w:val="Source"/>
            </w:pPr>
            <w:r>
              <w:t>Member States of the Inter-American Telecommunication Commission (CITEL)</w:t>
            </w:r>
          </w:p>
        </w:tc>
      </w:tr>
      <w:tr w:rsidR="00F21015" w:rsidRPr="00C324A8" w:rsidTr="00025864">
        <w:trPr>
          <w:cantSplit/>
          <w:trHeight w:val="23"/>
        </w:trPr>
        <w:tc>
          <w:tcPr>
            <w:tcW w:w="10031" w:type="dxa"/>
            <w:gridSpan w:val="2"/>
          </w:tcPr>
          <w:p w:rsidR="00F21015" w:rsidRDefault="00F21015" w:rsidP="00E55816">
            <w:pPr>
              <w:pStyle w:val="Title1"/>
            </w:pPr>
            <w:r>
              <w:t>Proposals for the work of the conference</w:t>
            </w:r>
          </w:p>
        </w:tc>
      </w:tr>
      <w:tr w:rsidR="00F21015" w:rsidRPr="00C324A8" w:rsidTr="00025864">
        <w:trPr>
          <w:cantSplit/>
          <w:trHeight w:val="23"/>
        </w:trPr>
        <w:tc>
          <w:tcPr>
            <w:tcW w:w="10031" w:type="dxa"/>
            <w:gridSpan w:val="2"/>
          </w:tcPr>
          <w:p w:rsidR="00F21015" w:rsidRDefault="00F21015" w:rsidP="00E55816">
            <w:pPr>
              <w:pStyle w:val="Title2"/>
            </w:pPr>
          </w:p>
        </w:tc>
      </w:tr>
      <w:tr w:rsidR="00F21015" w:rsidRPr="00C324A8" w:rsidTr="00025864">
        <w:trPr>
          <w:cantSplit/>
          <w:trHeight w:val="23"/>
        </w:trPr>
        <w:tc>
          <w:tcPr>
            <w:tcW w:w="10031" w:type="dxa"/>
            <w:gridSpan w:val="2"/>
          </w:tcPr>
          <w:p w:rsidR="00F21015" w:rsidRDefault="00F21015" w:rsidP="004B13CB">
            <w:pPr>
              <w:pStyle w:val="Agendaitem"/>
            </w:pPr>
            <w:r>
              <w:t>Agenda item 10</w:t>
            </w:r>
          </w:p>
        </w:tc>
      </w:tr>
    </w:tbl>
    <w:bookmarkEnd w:id="6"/>
    <w:bookmarkEnd w:id="7"/>
    <w:p w:rsidR="00F21015" w:rsidRPr="000002F2" w:rsidRDefault="00F21015" w:rsidP="009218EA">
      <w:pPr>
        <w:overflowPunct/>
        <w:autoSpaceDE/>
        <w:autoSpaceDN/>
        <w:adjustRightInd/>
        <w:textAlignment w:val="auto"/>
      </w:pPr>
      <w:r w:rsidRPr="009A2B70">
        <w:t>10</w:t>
      </w:r>
      <w:r w:rsidRPr="009A2B70">
        <w:rPr>
          <w:b/>
          <w:bCs/>
        </w:rPr>
        <w:tab/>
      </w:r>
      <w:r w:rsidRPr="009A2B70">
        <w:t>to recommend to the Council items for inclusion in the agenda for the next WRC, and to give its views on the preliminary agenda for the subsequent conference and on possible agenda items for future conferences, in accordance with Article 7 of the Convention,</w:t>
      </w:r>
    </w:p>
    <w:p w:rsidR="00F21015" w:rsidRPr="008B6601" w:rsidRDefault="00F21015" w:rsidP="00187BD9">
      <w:pPr>
        <w:tabs>
          <w:tab w:val="clear" w:pos="1134"/>
          <w:tab w:val="clear" w:pos="1871"/>
          <w:tab w:val="clear" w:pos="2268"/>
        </w:tabs>
        <w:overflowPunct/>
        <w:autoSpaceDE/>
        <w:autoSpaceDN/>
        <w:adjustRightInd/>
        <w:spacing w:before="0"/>
        <w:textAlignment w:val="auto"/>
        <w:rPr>
          <w:lang w:val="en-US"/>
        </w:rPr>
      </w:pPr>
    </w:p>
    <w:p w:rsidR="00F21015" w:rsidRDefault="00F21015" w:rsidP="008B6601">
      <w:pPr>
        <w:pStyle w:val="Headingb"/>
        <w:rPr>
          <w:lang w:val="en-US"/>
        </w:rPr>
      </w:pPr>
      <w:r>
        <w:rPr>
          <w:lang w:val="en-US"/>
        </w:rPr>
        <w:br w:type="page"/>
      </w:r>
      <w:r>
        <w:rPr>
          <w:lang w:val="en-US"/>
        </w:rPr>
        <w:lastRenderedPageBreak/>
        <w:t>Background</w:t>
      </w:r>
    </w:p>
    <w:p w:rsidR="00F21015" w:rsidRPr="00345C3C" w:rsidRDefault="00F21015" w:rsidP="00345C3C">
      <w:pPr>
        <w:rPr>
          <w:lang w:val="en-US"/>
        </w:rPr>
      </w:pPr>
    </w:p>
    <w:p w:rsidR="00F21015" w:rsidRPr="005847E8" w:rsidRDefault="00F21015" w:rsidP="006B6AD7">
      <w:pPr>
        <w:rPr>
          <w:szCs w:val="24"/>
        </w:rPr>
      </w:pPr>
      <w:r w:rsidRPr="005847E8">
        <w:rPr>
          <w:szCs w:val="24"/>
        </w:rPr>
        <w:t>The 460-470 MHz band is allocated on a primary basis to the fixed and mobile services. The meteorological-satellite service currently has a secondary allocation in this band.  Within this band, the</w:t>
      </w:r>
      <w:r w:rsidRPr="005847E8">
        <w:rPr>
          <w:b/>
          <w:szCs w:val="24"/>
        </w:rPr>
        <w:t xml:space="preserve"> </w:t>
      </w:r>
      <w:r w:rsidRPr="005847E8">
        <w:rPr>
          <w:szCs w:val="24"/>
        </w:rPr>
        <w:t>Argos Data Collection System (ADCS) is used to monitor over 21,000 individual platforms around the globe for 1,900 operators in 118 countries.  Critical applications of the ADCS include atmospheric &amp; ocean monitoring/research, tropical cyclone forecasting, fishery management, oil spill tracking, fishing vessel tracking, search &amp; rescue modeling (at sea), anti-piracy alerting, import/export &amp; hazardous materials tracking, endangered species studies, migration mapping, and wildlife tracking and management.</w:t>
      </w:r>
    </w:p>
    <w:p w:rsidR="00F21015" w:rsidRPr="005847E8" w:rsidRDefault="00F21015" w:rsidP="006B6AD7">
      <w:pPr>
        <w:rPr>
          <w:szCs w:val="24"/>
        </w:rPr>
      </w:pPr>
      <w:r w:rsidRPr="005847E8">
        <w:rPr>
          <w:szCs w:val="24"/>
        </w:rPr>
        <w:t xml:space="preserve">RF Central Station Alarm (CSA) systems operate on the same frequency as the ADCS downlink. Due to the potential for interference to the CSA systems, the operator turned off the ADCS on the NOAA-19 satellite. To provide additional  protection to </w:t>
      </w:r>
      <w:r>
        <w:rPr>
          <w:szCs w:val="24"/>
        </w:rPr>
        <w:t xml:space="preserve">the </w:t>
      </w:r>
      <w:r w:rsidRPr="005847E8">
        <w:rPr>
          <w:szCs w:val="24"/>
        </w:rPr>
        <w:t xml:space="preserve">existing </w:t>
      </w:r>
      <w:r>
        <w:rPr>
          <w:szCs w:val="24"/>
        </w:rPr>
        <w:t xml:space="preserve">primary </w:t>
      </w:r>
      <w:r w:rsidRPr="005847E8">
        <w:rPr>
          <w:szCs w:val="24"/>
        </w:rPr>
        <w:t>services in the band, the next generation of ADCS transmitters will implement a direct sequence spread spectrum in the satellite downlink to reduce the power flux density (pfd)  in the 460-470 MHz band to flux &lt; -152 dBW/m2/4kHz.</w:t>
      </w:r>
    </w:p>
    <w:p w:rsidR="00F21015" w:rsidRPr="005847E8" w:rsidRDefault="00F21015" w:rsidP="006B6AD7">
      <w:pPr>
        <w:rPr>
          <w:szCs w:val="24"/>
        </w:rPr>
      </w:pPr>
      <w:r w:rsidRPr="005847E8">
        <w:rPr>
          <w:szCs w:val="24"/>
        </w:rPr>
        <w:t>To protect the recent significant investment and expansion of the ADCS systems, this proposal advocates studying sharing between the existing meteorological-satellite (space-to-Earth) service and incumbent services in the 460-470 MHz band with a view to upgrading the meteorological-satellite service to primary and potentially adopting a pfd limit on the meteorological-satellite (space-to-Earth) service to protect the incumbent services.  A co-primary allocation status would protect the ADCS from any new services entering the band.</w:t>
      </w:r>
    </w:p>
    <w:p w:rsidR="00F21015" w:rsidRPr="008B6601" w:rsidRDefault="00F21015" w:rsidP="00187BD9">
      <w:pPr>
        <w:tabs>
          <w:tab w:val="clear" w:pos="1134"/>
          <w:tab w:val="clear" w:pos="1871"/>
          <w:tab w:val="clear" w:pos="2268"/>
        </w:tabs>
        <w:overflowPunct/>
        <w:autoSpaceDE/>
        <w:autoSpaceDN/>
        <w:adjustRightInd/>
        <w:spacing w:before="0"/>
        <w:textAlignment w:val="auto"/>
        <w:rPr>
          <w:lang w:val="en-US"/>
        </w:rPr>
      </w:pPr>
    </w:p>
    <w:p w:rsidR="00F21015" w:rsidRDefault="00F21015">
      <w:pPr>
        <w:pStyle w:val="Proposal"/>
      </w:pPr>
      <w:r>
        <w:t>ADD</w:t>
      </w:r>
      <w:r>
        <w:tab/>
        <w:t>IAP/7</w:t>
      </w:r>
      <w:r w:rsidR="00963FD2">
        <w:t>A24A1</w:t>
      </w:r>
      <w:r>
        <w:t>/1</w:t>
      </w:r>
    </w:p>
    <w:p w:rsidR="00F21015" w:rsidRPr="00622051" w:rsidRDefault="00F21015" w:rsidP="009860C9">
      <w:pPr>
        <w:pStyle w:val="ResNo"/>
        <w:rPr>
          <w:sz w:val="24"/>
          <w:szCs w:val="24"/>
        </w:rPr>
      </w:pPr>
      <w:r w:rsidRPr="00622051">
        <w:rPr>
          <w:sz w:val="24"/>
          <w:szCs w:val="24"/>
        </w:rPr>
        <w:t>Draft New Resolution [IAP-</w:t>
      </w:r>
      <w:r>
        <w:rPr>
          <w:sz w:val="24"/>
          <w:szCs w:val="24"/>
        </w:rPr>
        <w:t>10a-2019</w:t>
      </w:r>
      <w:r w:rsidRPr="00622051">
        <w:rPr>
          <w:sz w:val="24"/>
          <w:szCs w:val="24"/>
        </w:rPr>
        <w:t>] (WRC-15)</w:t>
      </w:r>
    </w:p>
    <w:p w:rsidR="00F21015" w:rsidRPr="00622051" w:rsidRDefault="00F21015" w:rsidP="00282EBC">
      <w:pPr>
        <w:pStyle w:val="Restitle"/>
        <w:rPr>
          <w:sz w:val="24"/>
          <w:szCs w:val="24"/>
        </w:rPr>
      </w:pPr>
      <w:bookmarkStart w:id="8" w:name="_Toc327364587"/>
      <w:r w:rsidRPr="00622051">
        <w:rPr>
          <w:sz w:val="24"/>
          <w:szCs w:val="24"/>
        </w:rPr>
        <w:t>Agenda for the 2019 World Radiocommunication Conference</w:t>
      </w:r>
      <w:bookmarkEnd w:id="8"/>
    </w:p>
    <w:p w:rsidR="00F21015" w:rsidRPr="00622051" w:rsidRDefault="00F21015" w:rsidP="00282EBC">
      <w:pPr>
        <w:pStyle w:val="Normalaftertitle"/>
        <w:rPr>
          <w:szCs w:val="24"/>
        </w:rPr>
      </w:pPr>
      <w:r w:rsidRPr="00622051">
        <w:rPr>
          <w:szCs w:val="24"/>
        </w:rPr>
        <w:t>The World Radiocommunication Conference (Geneva, 2015),</w:t>
      </w:r>
    </w:p>
    <w:p w:rsidR="00F21015" w:rsidRPr="00622051" w:rsidRDefault="00F21015" w:rsidP="00282EBC">
      <w:pPr>
        <w:rPr>
          <w:szCs w:val="24"/>
        </w:rPr>
      </w:pPr>
      <w:r w:rsidRPr="00622051">
        <w:rPr>
          <w:szCs w:val="24"/>
        </w:rPr>
        <w:t>…</w:t>
      </w:r>
    </w:p>
    <w:p w:rsidR="00F21015" w:rsidRPr="00622051" w:rsidRDefault="00F21015" w:rsidP="00282EBC">
      <w:pPr>
        <w:pStyle w:val="Call"/>
        <w:rPr>
          <w:szCs w:val="24"/>
        </w:rPr>
      </w:pPr>
      <w:r w:rsidRPr="00622051">
        <w:rPr>
          <w:szCs w:val="24"/>
        </w:rPr>
        <w:t>resolves</w:t>
      </w:r>
    </w:p>
    <w:p w:rsidR="00F21015" w:rsidRPr="00622051" w:rsidRDefault="00F21015" w:rsidP="00282EBC">
      <w:pPr>
        <w:rPr>
          <w:szCs w:val="24"/>
        </w:rPr>
      </w:pPr>
      <w:r w:rsidRPr="00622051">
        <w:rPr>
          <w:szCs w:val="24"/>
        </w:rPr>
        <w:t>…</w:t>
      </w:r>
    </w:p>
    <w:p w:rsidR="00F21015" w:rsidRPr="00622051" w:rsidRDefault="00F21015" w:rsidP="006B6AD7">
      <w:pPr>
        <w:rPr>
          <w:szCs w:val="24"/>
          <w:lang w:val="en-US"/>
        </w:rPr>
      </w:pPr>
      <w:r w:rsidRPr="00622051">
        <w:rPr>
          <w:b/>
          <w:szCs w:val="24"/>
        </w:rPr>
        <w:t>X.X</w:t>
      </w:r>
      <w:r w:rsidRPr="00622051">
        <w:rPr>
          <w:b/>
          <w:szCs w:val="24"/>
        </w:rPr>
        <w:tab/>
      </w:r>
      <w:r w:rsidRPr="00622051">
        <w:rPr>
          <w:szCs w:val="24"/>
        </w:rPr>
        <w:t xml:space="preserve">to review the allocations to the meteorological-satellite service in the 460-470 MHz band with a view to upgrade the secondary meteorological-satellite service allocation to primary status while protecting the existing primary services in the band, and without imposing any additional constraints on these primary services in accordance with Resolution </w:t>
      </w:r>
      <w:r w:rsidRPr="00622051">
        <w:rPr>
          <w:b/>
          <w:bCs/>
          <w:szCs w:val="24"/>
        </w:rPr>
        <w:t>[</w:t>
      </w:r>
      <w:r w:rsidRPr="00622051">
        <w:rPr>
          <w:szCs w:val="24"/>
        </w:rPr>
        <w:t>IAP-10-</w:t>
      </w:r>
      <w:r>
        <w:rPr>
          <w:szCs w:val="24"/>
        </w:rPr>
        <w:t>460-470</w:t>
      </w:r>
      <w:r w:rsidRPr="00622051">
        <w:rPr>
          <w:b/>
          <w:bCs/>
          <w:szCs w:val="24"/>
        </w:rPr>
        <w:t>]</w:t>
      </w:r>
      <w:r w:rsidRPr="00622051">
        <w:rPr>
          <w:szCs w:val="24"/>
        </w:rPr>
        <w:t xml:space="preserve"> </w:t>
      </w:r>
      <w:r w:rsidRPr="00622051">
        <w:rPr>
          <w:b/>
          <w:bCs/>
          <w:szCs w:val="24"/>
        </w:rPr>
        <w:t>(WRC</w:t>
      </w:r>
      <w:r w:rsidRPr="00622051">
        <w:rPr>
          <w:b/>
          <w:bCs/>
          <w:szCs w:val="24"/>
        </w:rPr>
        <w:noBreakHyphen/>
        <w:t>15)</w:t>
      </w:r>
      <w:r w:rsidRPr="00622051">
        <w:rPr>
          <w:szCs w:val="24"/>
        </w:rPr>
        <w:t>;</w:t>
      </w:r>
    </w:p>
    <w:p w:rsidR="00F21015" w:rsidRPr="00622051" w:rsidRDefault="00F21015" w:rsidP="00282EBC">
      <w:pPr>
        <w:rPr>
          <w:szCs w:val="24"/>
        </w:rPr>
      </w:pPr>
    </w:p>
    <w:p w:rsidR="00F21015" w:rsidRPr="00622051" w:rsidRDefault="00F21015" w:rsidP="006B6AD7">
      <w:pPr>
        <w:pStyle w:val="Reasons"/>
        <w:rPr>
          <w:szCs w:val="24"/>
        </w:rPr>
      </w:pPr>
      <w:r w:rsidRPr="00622051">
        <w:rPr>
          <w:b/>
          <w:szCs w:val="24"/>
        </w:rPr>
        <w:t>Reasons:</w:t>
      </w:r>
      <w:r w:rsidRPr="00622051">
        <w:rPr>
          <w:szCs w:val="24"/>
        </w:rPr>
        <w:tab/>
        <w:t>To allow meteorological-satellite service to operate on a co-primary status with fixed and mobile</w:t>
      </w:r>
      <w:r>
        <w:rPr>
          <w:szCs w:val="24"/>
        </w:rPr>
        <w:t xml:space="preserve"> services</w:t>
      </w:r>
      <w:r w:rsidRPr="00622051">
        <w:rPr>
          <w:szCs w:val="24"/>
        </w:rPr>
        <w:t>.</w:t>
      </w:r>
    </w:p>
    <w:p w:rsidR="00F21015" w:rsidRPr="00622051" w:rsidRDefault="00F21015">
      <w:pPr>
        <w:pStyle w:val="Reasons"/>
        <w:jc w:val="both"/>
        <w:rPr>
          <w:szCs w:val="24"/>
        </w:rPr>
      </w:pPr>
    </w:p>
    <w:p w:rsidR="00F21015" w:rsidRPr="00622051" w:rsidRDefault="00F21015">
      <w:pPr>
        <w:pStyle w:val="Reasons"/>
        <w:rPr>
          <w:szCs w:val="24"/>
        </w:rPr>
      </w:pPr>
    </w:p>
    <w:p w:rsidR="00F21015" w:rsidRDefault="00F21015">
      <w:pPr>
        <w:pStyle w:val="Proposal"/>
      </w:pPr>
      <w:r>
        <w:lastRenderedPageBreak/>
        <w:t>ADD</w:t>
      </w:r>
      <w:r>
        <w:tab/>
        <w:t>IAP/7</w:t>
      </w:r>
      <w:r w:rsidR="00963FD2">
        <w:t>A24A1</w:t>
      </w:r>
      <w:r>
        <w:t>/2</w:t>
      </w:r>
    </w:p>
    <w:p w:rsidR="00F21015" w:rsidRPr="00622051" w:rsidRDefault="00F21015">
      <w:pPr>
        <w:pStyle w:val="ResNo"/>
        <w:rPr>
          <w:sz w:val="24"/>
          <w:szCs w:val="24"/>
        </w:rPr>
      </w:pPr>
      <w:r w:rsidRPr="00622051">
        <w:rPr>
          <w:sz w:val="24"/>
          <w:szCs w:val="24"/>
        </w:rPr>
        <w:t>Draft New Resolution [IAP-10-</w:t>
      </w:r>
      <w:r>
        <w:rPr>
          <w:sz w:val="24"/>
          <w:szCs w:val="24"/>
        </w:rPr>
        <w:t>460-470</w:t>
      </w:r>
      <w:r w:rsidRPr="00622051">
        <w:rPr>
          <w:sz w:val="24"/>
          <w:szCs w:val="24"/>
        </w:rPr>
        <w:t>] (WRC-15)</w:t>
      </w:r>
    </w:p>
    <w:p w:rsidR="00F21015" w:rsidRPr="00622051" w:rsidRDefault="00F21015" w:rsidP="00345C3C">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rPr>
          <w:b/>
          <w:szCs w:val="24"/>
        </w:rPr>
      </w:pPr>
      <w:r w:rsidRPr="00622051">
        <w:rPr>
          <w:b/>
          <w:szCs w:val="24"/>
        </w:rPr>
        <w:t>Primary Allocation to the Meteorological Satellite Service in the 460 – 470 MHz Band</w:t>
      </w:r>
    </w:p>
    <w:p w:rsidR="00F21015" w:rsidRDefault="00F21015" w:rsidP="002C3389">
      <w:pPr>
        <w:pStyle w:val="Normalaftertitle"/>
        <w:spacing w:before="0"/>
        <w:rPr>
          <w:szCs w:val="24"/>
          <w:lang w:val="en-US"/>
        </w:rPr>
      </w:pPr>
    </w:p>
    <w:p w:rsidR="00F21015" w:rsidRPr="00622051" w:rsidRDefault="00F21015" w:rsidP="006B6AD7">
      <w:pPr>
        <w:pStyle w:val="Normalaftertitle"/>
        <w:spacing w:before="0"/>
        <w:rPr>
          <w:szCs w:val="24"/>
          <w:lang w:val="en-US"/>
        </w:rPr>
      </w:pPr>
      <w:r w:rsidRPr="00622051">
        <w:rPr>
          <w:szCs w:val="24"/>
          <w:lang w:val="en-US"/>
        </w:rPr>
        <w:t>The World Radiocommunication Conference (Geneva, 2015),</w:t>
      </w:r>
    </w:p>
    <w:p w:rsidR="00F21015" w:rsidRPr="00622051" w:rsidRDefault="00F21015" w:rsidP="006B6AD7">
      <w:pPr>
        <w:pStyle w:val="Call"/>
        <w:spacing w:before="0"/>
        <w:rPr>
          <w:szCs w:val="24"/>
        </w:rPr>
      </w:pPr>
    </w:p>
    <w:p w:rsidR="00F21015" w:rsidRPr="00622051" w:rsidRDefault="00F21015" w:rsidP="006B6AD7">
      <w:pPr>
        <w:pStyle w:val="Call"/>
        <w:spacing w:before="0"/>
        <w:rPr>
          <w:szCs w:val="24"/>
        </w:rPr>
      </w:pPr>
      <w:r w:rsidRPr="00622051">
        <w:rPr>
          <w:szCs w:val="24"/>
        </w:rPr>
        <w:t>considering</w:t>
      </w:r>
    </w:p>
    <w:p w:rsidR="00F21015" w:rsidRPr="00622051" w:rsidRDefault="00F21015" w:rsidP="006B6AD7">
      <w:pPr>
        <w:tabs>
          <w:tab w:val="left" w:pos="1080"/>
          <w:tab w:val="left" w:pos="1170"/>
          <w:tab w:val="left" w:pos="1800"/>
        </w:tabs>
        <w:rPr>
          <w:szCs w:val="24"/>
        </w:rPr>
      </w:pPr>
      <w:r w:rsidRPr="00622051">
        <w:rPr>
          <w:i/>
          <w:szCs w:val="24"/>
        </w:rPr>
        <w:t>a)</w:t>
      </w:r>
      <w:r w:rsidRPr="00622051">
        <w:rPr>
          <w:i/>
          <w:szCs w:val="24"/>
        </w:rPr>
        <w:tab/>
      </w:r>
      <w:r w:rsidRPr="00622051">
        <w:rPr>
          <w:szCs w:val="24"/>
        </w:rPr>
        <w:t>that the Argos Data Collection System (ADCS) is used to monitor over 21,000 individual platforms around the globe for 1,900 operators in 118 countries;</w:t>
      </w:r>
    </w:p>
    <w:p w:rsidR="00F21015" w:rsidRPr="00622051" w:rsidRDefault="00F21015" w:rsidP="006B6AD7">
      <w:pPr>
        <w:tabs>
          <w:tab w:val="left" w:pos="1080"/>
          <w:tab w:val="left" w:pos="1170"/>
          <w:tab w:val="left" w:pos="1800"/>
        </w:tabs>
        <w:rPr>
          <w:i/>
          <w:szCs w:val="24"/>
        </w:rPr>
      </w:pPr>
    </w:p>
    <w:p w:rsidR="00F21015" w:rsidRPr="00622051" w:rsidRDefault="00F21015" w:rsidP="006B6AD7">
      <w:pPr>
        <w:tabs>
          <w:tab w:val="left" w:pos="1080"/>
          <w:tab w:val="left" w:pos="1170"/>
          <w:tab w:val="left" w:pos="1800"/>
        </w:tabs>
        <w:rPr>
          <w:szCs w:val="24"/>
        </w:rPr>
      </w:pPr>
      <w:r w:rsidRPr="00622051">
        <w:rPr>
          <w:i/>
          <w:szCs w:val="24"/>
        </w:rPr>
        <w:t>b)</w:t>
      </w:r>
      <w:r w:rsidRPr="00622051">
        <w:rPr>
          <w:szCs w:val="24"/>
        </w:rPr>
        <w:tab/>
        <w:t>that the use of ADCS can provide spectrum efficiency by interrogating collection platforms prior to their transmission;</w:t>
      </w:r>
    </w:p>
    <w:p w:rsidR="00F21015" w:rsidRPr="00622051" w:rsidRDefault="00F21015" w:rsidP="006B6AD7">
      <w:pPr>
        <w:tabs>
          <w:tab w:val="left" w:pos="1080"/>
          <w:tab w:val="left" w:pos="1170"/>
          <w:tab w:val="left" w:pos="1800"/>
        </w:tabs>
        <w:rPr>
          <w:i/>
          <w:szCs w:val="24"/>
        </w:rPr>
      </w:pPr>
    </w:p>
    <w:p w:rsidR="00F21015" w:rsidRPr="00622051" w:rsidRDefault="00F21015" w:rsidP="006B6AD7">
      <w:pPr>
        <w:tabs>
          <w:tab w:val="left" w:pos="1080"/>
          <w:tab w:val="left" w:pos="1170"/>
          <w:tab w:val="left" w:pos="1800"/>
        </w:tabs>
        <w:rPr>
          <w:szCs w:val="24"/>
        </w:rPr>
      </w:pPr>
      <w:r w:rsidRPr="00622051">
        <w:rPr>
          <w:i/>
          <w:szCs w:val="24"/>
        </w:rPr>
        <w:t>c)</w:t>
      </w:r>
      <w:r w:rsidRPr="00622051">
        <w:rPr>
          <w:szCs w:val="24"/>
        </w:rPr>
        <w:tab/>
        <w:t>that ADCS may be authorized to operate on a secondary basis with respect to the fixed and mobile services,</w:t>
      </w:r>
    </w:p>
    <w:p w:rsidR="00F21015" w:rsidRPr="00622051" w:rsidRDefault="00F21015" w:rsidP="006B6AD7">
      <w:pPr>
        <w:pStyle w:val="Call"/>
        <w:spacing w:before="0"/>
        <w:rPr>
          <w:szCs w:val="24"/>
        </w:rPr>
      </w:pPr>
    </w:p>
    <w:p w:rsidR="00F21015" w:rsidRPr="00622051" w:rsidRDefault="00F21015" w:rsidP="006B6AD7">
      <w:pPr>
        <w:pStyle w:val="Call"/>
        <w:spacing w:before="0"/>
        <w:rPr>
          <w:szCs w:val="24"/>
        </w:rPr>
      </w:pPr>
      <w:r w:rsidRPr="00622051">
        <w:rPr>
          <w:szCs w:val="24"/>
        </w:rPr>
        <w:t>recognizing</w:t>
      </w:r>
    </w:p>
    <w:p w:rsidR="00F21015" w:rsidRPr="00622051" w:rsidRDefault="00F21015" w:rsidP="006B6AD7">
      <w:pPr>
        <w:tabs>
          <w:tab w:val="left" w:pos="1080"/>
        </w:tabs>
        <w:rPr>
          <w:szCs w:val="24"/>
        </w:rPr>
      </w:pPr>
      <w:r w:rsidRPr="00622051">
        <w:rPr>
          <w:i/>
          <w:szCs w:val="24"/>
        </w:rPr>
        <w:t>a)</w:t>
      </w:r>
      <w:r w:rsidRPr="00622051">
        <w:rPr>
          <w:szCs w:val="24"/>
        </w:rPr>
        <w:tab/>
        <w:t>that technology has been developed to provide more efficient use of the spectrum;</w:t>
      </w:r>
    </w:p>
    <w:p w:rsidR="00F21015" w:rsidRPr="00622051" w:rsidRDefault="00F21015" w:rsidP="006B6AD7">
      <w:pPr>
        <w:tabs>
          <w:tab w:val="left" w:pos="1080"/>
        </w:tabs>
        <w:rPr>
          <w:i/>
          <w:szCs w:val="24"/>
        </w:rPr>
      </w:pPr>
    </w:p>
    <w:p w:rsidR="00F21015" w:rsidRPr="00622051" w:rsidRDefault="00F21015" w:rsidP="006B6AD7">
      <w:pPr>
        <w:tabs>
          <w:tab w:val="left" w:pos="1080"/>
        </w:tabs>
        <w:rPr>
          <w:szCs w:val="24"/>
        </w:rPr>
      </w:pPr>
      <w:r w:rsidRPr="00622051">
        <w:rPr>
          <w:i/>
          <w:szCs w:val="24"/>
        </w:rPr>
        <w:t>b)</w:t>
      </w:r>
      <w:r w:rsidRPr="00622051">
        <w:rPr>
          <w:i/>
          <w:szCs w:val="24"/>
        </w:rPr>
        <w:tab/>
      </w:r>
      <w:r w:rsidRPr="00622051">
        <w:rPr>
          <w:szCs w:val="24"/>
        </w:rPr>
        <w:t>that a digital spread spectrum scheme will be used to increase mitigation of potential interference to incumbents in the band;</w:t>
      </w:r>
    </w:p>
    <w:p w:rsidR="00F21015" w:rsidRPr="00622051" w:rsidRDefault="00F21015" w:rsidP="006B6AD7">
      <w:pPr>
        <w:tabs>
          <w:tab w:val="left" w:pos="1080"/>
        </w:tabs>
        <w:rPr>
          <w:szCs w:val="24"/>
        </w:rPr>
      </w:pPr>
      <w:r w:rsidRPr="00622051">
        <w:rPr>
          <w:i/>
          <w:szCs w:val="24"/>
        </w:rPr>
        <w:t>c)</w:t>
      </w:r>
      <w:r w:rsidRPr="00622051">
        <w:rPr>
          <w:szCs w:val="24"/>
        </w:rPr>
        <w:tab/>
        <w:t>that the satellite-to-platform down-link at 465.9875 MHz significantly improves platform and system performance, including data latency and battery life;</w:t>
      </w:r>
    </w:p>
    <w:p w:rsidR="00F21015" w:rsidRPr="00622051" w:rsidRDefault="00F21015" w:rsidP="006B6AD7">
      <w:pPr>
        <w:tabs>
          <w:tab w:val="left" w:pos="1080"/>
        </w:tabs>
        <w:rPr>
          <w:szCs w:val="24"/>
        </w:rPr>
      </w:pPr>
      <w:r w:rsidRPr="00622051">
        <w:rPr>
          <w:i/>
          <w:szCs w:val="24"/>
        </w:rPr>
        <w:t>d)</w:t>
      </w:r>
      <w:r w:rsidRPr="00622051">
        <w:rPr>
          <w:i/>
          <w:szCs w:val="24"/>
        </w:rPr>
        <w:tab/>
      </w:r>
      <w:r w:rsidRPr="00622051">
        <w:rPr>
          <w:szCs w:val="24"/>
        </w:rPr>
        <w:t>that due to the significant investment and expansion of ADCS, future conflicts or interference issues must be avoided,</w:t>
      </w:r>
    </w:p>
    <w:p w:rsidR="00F21015" w:rsidRPr="00622051" w:rsidRDefault="00F21015" w:rsidP="006B6AD7">
      <w:pPr>
        <w:tabs>
          <w:tab w:val="left" w:pos="1080"/>
        </w:tabs>
        <w:rPr>
          <w:szCs w:val="24"/>
        </w:rPr>
      </w:pPr>
      <w:r w:rsidRPr="003329D0">
        <w:rPr>
          <w:i/>
          <w:szCs w:val="24"/>
        </w:rPr>
        <w:t>e)</w:t>
      </w:r>
      <w:r w:rsidRPr="00622051">
        <w:rPr>
          <w:szCs w:val="24"/>
        </w:rPr>
        <w:t xml:space="preserve"> </w:t>
      </w:r>
      <w:r w:rsidRPr="00622051">
        <w:rPr>
          <w:szCs w:val="24"/>
        </w:rPr>
        <w:tab/>
        <w:t>that the 460-470 MHz band is allocated to the fixed and mobile services on a primary basis in all Regions;</w:t>
      </w:r>
    </w:p>
    <w:p w:rsidR="00F21015" w:rsidRPr="00622051" w:rsidRDefault="00F21015" w:rsidP="006B6AD7">
      <w:pPr>
        <w:tabs>
          <w:tab w:val="left" w:pos="1080"/>
        </w:tabs>
        <w:rPr>
          <w:szCs w:val="24"/>
        </w:rPr>
      </w:pPr>
      <w:r w:rsidRPr="003329D0">
        <w:rPr>
          <w:i/>
          <w:szCs w:val="24"/>
        </w:rPr>
        <w:t>f)</w:t>
      </w:r>
      <w:r w:rsidRPr="00622051">
        <w:rPr>
          <w:szCs w:val="24"/>
        </w:rPr>
        <w:tab/>
        <w:t>that No. 5.286AA identifies the frequency band 460-470 MHz for the use by administrations wishing to implement International Mobile Telecommunications (IMT);</w:t>
      </w:r>
    </w:p>
    <w:p w:rsidR="00F21015" w:rsidRPr="00622051" w:rsidRDefault="00F21015" w:rsidP="006B6AD7">
      <w:pPr>
        <w:tabs>
          <w:tab w:val="left" w:pos="1080"/>
        </w:tabs>
        <w:rPr>
          <w:szCs w:val="24"/>
        </w:rPr>
      </w:pPr>
      <w:r w:rsidRPr="003329D0">
        <w:rPr>
          <w:i/>
          <w:szCs w:val="24"/>
        </w:rPr>
        <w:t>g)</w:t>
      </w:r>
      <w:r w:rsidRPr="00622051">
        <w:rPr>
          <w:szCs w:val="24"/>
        </w:rPr>
        <w:t xml:space="preserve"> </w:t>
      </w:r>
      <w:r w:rsidRPr="00622051">
        <w:rPr>
          <w:szCs w:val="24"/>
        </w:rPr>
        <w:tab/>
        <w:t>that the meteorological-satellite service ground receivers will not claim protection from stations in the primary fixed and mobile services.</w:t>
      </w:r>
    </w:p>
    <w:p w:rsidR="00F21015" w:rsidRPr="00622051" w:rsidRDefault="00F21015" w:rsidP="006B6AD7">
      <w:pPr>
        <w:tabs>
          <w:tab w:val="left" w:pos="1080"/>
        </w:tabs>
        <w:rPr>
          <w:szCs w:val="24"/>
        </w:rPr>
      </w:pPr>
      <w:r w:rsidRPr="003329D0">
        <w:rPr>
          <w:i/>
          <w:szCs w:val="24"/>
        </w:rPr>
        <w:t>h)</w:t>
      </w:r>
      <w:r w:rsidRPr="00622051">
        <w:rPr>
          <w:szCs w:val="24"/>
        </w:rPr>
        <w:tab/>
        <w:t xml:space="preserve">that at least one administration </w:t>
      </w:r>
      <w:r w:rsidRPr="00622051">
        <w:rPr>
          <w:color w:val="000000"/>
          <w:szCs w:val="24"/>
        </w:rPr>
        <w:t>has adopted national regulatory provisions providing a pfd limit at the Earth’s surface of -152 dBW/m</w:t>
      </w:r>
      <w:r w:rsidRPr="00622051">
        <w:rPr>
          <w:color w:val="000000"/>
          <w:szCs w:val="24"/>
          <w:vertAlign w:val="superscript"/>
        </w:rPr>
        <w:t>2</w:t>
      </w:r>
      <w:r w:rsidRPr="00622051">
        <w:rPr>
          <w:color w:val="000000"/>
          <w:szCs w:val="24"/>
        </w:rPr>
        <w:t>/4 kHz for protecting the fixed and mobile services in the band,</w:t>
      </w:r>
    </w:p>
    <w:p w:rsidR="00F21015" w:rsidRPr="00622051" w:rsidRDefault="00F21015" w:rsidP="006B6AD7">
      <w:pPr>
        <w:pStyle w:val="Call"/>
        <w:spacing w:before="0"/>
        <w:rPr>
          <w:szCs w:val="24"/>
        </w:rPr>
      </w:pPr>
    </w:p>
    <w:p w:rsidR="00F21015" w:rsidRPr="00622051" w:rsidRDefault="00F21015" w:rsidP="006B6AD7">
      <w:pPr>
        <w:pStyle w:val="Call"/>
        <w:spacing w:before="0"/>
        <w:rPr>
          <w:szCs w:val="24"/>
        </w:rPr>
      </w:pPr>
      <w:r w:rsidRPr="00622051">
        <w:rPr>
          <w:szCs w:val="24"/>
        </w:rPr>
        <w:t>resolves</w:t>
      </w:r>
    </w:p>
    <w:p w:rsidR="00F21015" w:rsidRPr="00622051" w:rsidRDefault="00F21015" w:rsidP="006B6AD7">
      <w:pPr>
        <w:rPr>
          <w:szCs w:val="24"/>
        </w:rPr>
      </w:pPr>
    </w:p>
    <w:p w:rsidR="00F21015" w:rsidRPr="00622051" w:rsidRDefault="00F21015" w:rsidP="006B6AD7">
      <w:pPr>
        <w:rPr>
          <w:szCs w:val="24"/>
        </w:rPr>
      </w:pPr>
      <w:r w:rsidRPr="00622051">
        <w:rPr>
          <w:szCs w:val="24"/>
        </w:rPr>
        <w:t xml:space="preserve">that taking into account the results of ITU-R studies, WRC-19 consider upgrading the current secondary allocation of the meteorological-satellite service (space-to-Earth) to primary in the 460-470 MHz frequency band without imposing any additional constraints on existing primary  services </w:t>
      </w:r>
      <w:r w:rsidRPr="00622051">
        <w:rPr>
          <w:szCs w:val="24"/>
        </w:rPr>
        <w:lastRenderedPageBreak/>
        <w:t>in the band and establish a pfd limit that shall not exceed -152 dBW/m</w:t>
      </w:r>
      <w:r w:rsidRPr="00622051">
        <w:rPr>
          <w:szCs w:val="24"/>
          <w:vertAlign w:val="superscript"/>
        </w:rPr>
        <w:t>2</w:t>
      </w:r>
      <w:r w:rsidRPr="00622051">
        <w:rPr>
          <w:szCs w:val="24"/>
        </w:rPr>
        <w:t>/4kHz at the Earth’s surface to protect these primary services.</w:t>
      </w:r>
    </w:p>
    <w:p w:rsidR="00F21015" w:rsidRPr="00622051" w:rsidRDefault="00F21015" w:rsidP="006B6AD7">
      <w:pPr>
        <w:pStyle w:val="Call"/>
        <w:spacing w:before="0"/>
        <w:rPr>
          <w:szCs w:val="24"/>
        </w:rPr>
      </w:pPr>
    </w:p>
    <w:p w:rsidR="00F21015" w:rsidRPr="00622051" w:rsidRDefault="00F21015" w:rsidP="006B6AD7">
      <w:pPr>
        <w:pStyle w:val="Call"/>
        <w:spacing w:before="0"/>
        <w:rPr>
          <w:szCs w:val="24"/>
        </w:rPr>
      </w:pPr>
      <w:r w:rsidRPr="00622051">
        <w:rPr>
          <w:szCs w:val="24"/>
        </w:rPr>
        <w:t>resolves to invite the ITU-R</w:t>
      </w:r>
    </w:p>
    <w:p w:rsidR="00F21015" w:rsidRPr="00622051" w:rsidRDefault="00F21015" w:rsidP="006B6AD7">
      <w:pPr>
        <w:tabs>
          <w:tab w:val="left" w:pos="1170"/>
        </w:tabs>
        <w:rPr>
          <w:color w:val="000000"/>
          <w:szCs w:val="24"/>
        </w:rPr>
      </w:pPr>
      <w:r w:rsidRPr="00622051">
        <w:rPr>
          <w:color w:val="000000"/>
          <w:szCs w:val="24"/>
        </w:rPr>
        <w:t>1.</w:t>
      </w:r>
      <w:r w:rsidRPr="00622051">
        <w:rPr>
          <w:color w:val="000000"/>
          <w:szCs w:val="24"/>
        </w:rPr>
        <w:tab/>
        <w:t>to conduct in time for WRC-19, sharing and compatibility studies between the meteorological-satellite service (space-to-Earth) and the primary fixed and mobile services in the band 460-470 MHz and in adjacent bands as appropriate;</w:t>
      </w:r>
    </w:p>
    <w:p w:rsidR="00F21015" w:rsidRPr="00622051" w:rsidRDefault="00F21015" w:rsidP="006B6AD7">
      <w:pPr>
        <w:tabs>
          <w:tab w:val="left" w:pos="1170"/>
        </w:tabs>
        <w:rPr>
          <w:szCs w:val="24"/>
        </w:rPr>
      </w:pPr>
      <w:r w:rsidRPr="00622051">
        <w:rPr>
          <w:szCs w:val="24"/>
        </w:rPr>
        <w:t>2</w:t>
      </w:r>
      <w:r w:rsidRPr="00622051">
        <w:rPr>
          <w:szCs w:val="24"/>
        </w:rPr>
        <w:tab/>
        <w:t>to complete the studies, taking into account the present use of the allocated band to determine the appropriate power flux density limit to be placed on the meteorological-satellite service (space-to-Earth) to protect the existing primary services in the band that shall not exceed -152 dBW/m</w:t>
      </w:r>
      <w:r w:rsidRPr="00622051">
        <w:rPr>
          <w:szCs w:val="24"/>
          <w:vertAlign w:val="superscript"/>
        </w:rPr>
        <w:t>2</w:t>
      </w:r>
      <w:r w:rsidRPr="00622051">
        <w:rPr>
          <w:szCs w:val="24"/>
        </w:rPr>
        <w:t>/4kHz at the Earth’s surface;</w:t>
      </w:r>
    </w:p>
    <w:p w:rsidR="00F21015" w:rsidRPr="00622051" w:rsidRDefault="00F21015" w:rsidP="006B6AD7">
      <w:pPr>
        <w:rPr>
          <w:szCs w:val="24"/>
        </w:rPr>
      </w:pPr>
    </w:p>
    <w:p w:rsidR="00F21015" w:rsidRPr="00622051" w:rsidRDefault="00F21015" w:rsidP="006B6AD7">
      <w:pPr>
        <w:pStyle w:val="Call"/>
        <w:spacing w:before="0"/>
        <w:rPr>
          <w:szCs w:val="24"/>
        </w:rPr>
      </w:pPr>
      <w:r w:rsidRPr="00622051">
        <w:rPr>
          <w:szCs w:val="24"/>
        </w:rPr>
        <w:t>invites administrations</w:t>
      </w:r>
    </w:p>
    <w:p w:rsidR="00F21015" w:rsidRPr="00622051" w:rsidRDefault="00F21015" w:rsidP="006B6AD7">
      <w:pPr>
        <w:rPr>
          <w:szCs w:val="24"/>
        </w:rPr>
      </w:pPr>
      <w:r w:rsidRPr="00622051">
        <w:rPr>
          <w:szCs w:val="24"/>
        </w:rPr>
        <w:t xml:space="preserve">to participate actively in the studies and provide the technical and operational characteristics of the systems involved by submitting contributions to the ITU-R, </w:t>
      </w:r>
    </w:p>
    <w:p w:rsidR="00F21015" w:rsidRPr="00622051" w:rsidRDefault="00F21015" w:rsidP="006B6AD7">
      <w:pPr>
        <w:pStyle w:val="Call"/>
        <w:spacing w:before="0"/>
        <w:rPr>
          <w:szCs w:val="24"/>
        </w:rPr>
      </w:pPr>
    </w:p>
    <w:p w:rsidR="00F21015" w:rsidRPr="00622051" w:rsidRDefault="00F21015" w:rsidP="006B6AD7">
      <w:pPr>
        <w:pStyle w:val="Call"/>
        <w:spacing w:before="0"/>
        <w:rPr>
          <w:szCs w:val="24"/>
        </w:rPr>
      </w:pPr>
      <w:r w:rsidRPr="00622051">
        <w:rPr>
          <w:szCs w:val="24"/>
        </w:rPr>
        <w:t>instructs the Secretary General</w:t>
      </w:r>
    </w:p>
    <w:p w:rsidR="00F21015" w:rsidRPr="00622051" w:rsidRDefault="00F21015" w:rsidP="006B6AD7">
      <w:pPr>
        <w:rPr>
          <w:szCs w:val="24"/>
        </w:rPr>
      </w:pPr>
      <w:r w:rsidRPr="00622051">
        <w:rPr>
          <w:szCs w:val="24"/>
        </w:rPr>
        <w:t>to bring this resolution to the attention of the Space Frequency Coordination Group (SFCG) and other international and regional organizations concerned.</w:t>
      </w:r>
    </w:p>
    <w:p w:rsidR="00F21015" w:rsidRPr="00622051" w:rsidRDefault="00F21015" w:rsidP="006B6AD7">
      <w:pPr>
        <w:rPr>
          <w:szCs w:val="24"/>
        </w:rPr>
      </w:pPr>
    </w:p>
    <w:p w:rsidR="00F21015" w:rsidRPr="00622051" w:rsidRDefault="00F21015" w:rsidP="006B6AD7">
      <w:pPr>
        <w:pStyle w:val="Reasons"/>
        <w:spacing w:before="0"/>
        <w:rPr>
          <w:szCs w:val="24"/>
          <w:lang w:val="en-US"/>
        </w:rPr>
      </w:pPr>
      <w:r w:rsidRPr="00622051">
        <w:rPr>
          <w:b/>
          <w:szCs w:val="24"/>
          <w:lang w:val="en-US"/>
        </w:rPr>
        <w:t>Reasons</w:t>
      </w:r>
      <w:r w:rsidRPr="00622051">
        <w:rPr>
          <w:szCs w:val="24"/>
          <w:lang w:val="en-US"/>
        </w:rPr>
        <w:t>:  A resolution will support the ITU-R studies needed under the relevant WRC-19 agenda item.</w:t>
      </w:r>
    </w:p>
    <w:p w:rsidR="00F21015" w:rsidRPr="00622051" w:rsidRDefault="00F21015" w:rsidP="002C3389">
      <w:pPr>
        <w:rPr>
          <w:szCs w:val="24"/>
        </w:rPr>
      </w:pPr>
    </w:p>
    <w:p w:rsidR="00F21015" w:rsidRPr="00622051" w:rsidRDefault="00F21015">
      <w:pPr>
        <w:pStyle w:val="Proposal"/>
        <w:rPr>
          <w:szCs w:val="24"/>
        </w:rPr>
      </w:pPr>
      <w:r w:rsidRPr="00622051">
        <w:rPr>
          <w:szCs w:val="24"/>
        </w:rPr>
        <w:t>SUP</w:t>
      </w:r>
      <w:r w:rsidRPr="00622051">
        <w:rPr>
          <w:szCs w:val="24"/>
        </w:rPr>
        <w:tab/>
        <w:t>IAP/</w:t>
      </w:r>
      <w:r>
        <w:rPr>
          <w:szCs w:val="24"/>
        </w:rPr>
        <w:t>7</w:t>
      </w:r>
      <w:r w:rsidR="00963FD2">
        <w:rPr>
          <w:szCs w:val="24"/>
        </w:rPr>
        <w:t>A24A1</w:t>
      </w:r>
      <w:bookmarkStart w:id="9" w:name="_GoBack"/>
      <w:bookmarkEnd w:id="9"/>
      <w:r w:rsidRPr="00622051">
        <w:rPr>
          <w:szCs w:val="24"/>
        </w:rPr>
        <w:t>/3</w:t>
      </w:r>
    </w:p>
    <w:p w:rsidR="00F21015" w:rsidRPr="00622051" w:rsidRDefault="00F21015">
      <w:pPr>
        <w:pStyle w:val="ResNo"/>
        <w:rPr>
          <w:sz w:val="24"/>
          <w:szCs w:val="24"/>
        </w:rPr>
      </w:pPr>
      <w:bookmarkStart w:id="10" w:name="_Toc327364588"/>
      <w:r w:rsidRPr="00622051">
        <w:rPr>
          <w:sz w:val="24"/>
          <w:szCs w:val="24"/>
        </w:rPr>
        <w:t xml:space="preserve">RESOLUTION </w:t>
      </w:r>
      <w:r w:rsidRPr="00622051">
        <w:rPr>
          <w:rStyle w:val="href"/>
          <w:sz w:val="24"/>
          <w:szCs w:val="24"/>
        </w:rPr>
        <w:t>80</w:t>
      </w:r>
      <w:r>
        <w:rPr>
          <w:rStyle w:val="href"/>
          <w:sz w:val="24"/>
          <w:szCs w:val="24"/>
        </w:rPr>
        <w:t>8</w:t>
      </w:r>
      <w:r w:rsidRPr="00622051">
        <w:rPr>
          <w:sz w:val="24"/>
          <w:szCs w:val="24"/>
        </w:rPr>
        <w:t xml:space="preserve"> (WRC</w:t>
      </w:r>
      <w:r w:rsidRPr="00622051">
        <w:rPr>
          <w:sz w:val="24"/>
          <w:szCs w:val="24"/>
        </w:rPr>
        <w:noBreakHyphen/>
        <w:t>15)</w:t>
      </w:r>
      <w:bookmarkEnd w:id="10"/>
    </w:p>
    <w:p w:rsidR="00F21015" w:rsidRPr="00622051" w:rsidRDefault="00F21015" w:rsidP="00651EBE">
      <w:pPr>
        <w:pStyle w:val="Restitle"/>
        <w:rPr>
          <w:sz w:val="24"/>
          <w:szCs w:val="24"/>
        </w:rPr>
      </w:pPr>
      <w:bookmarkStart w:id="11" w:name="_Toc327364589"/>
      <w:r w:rsidRPr="00622051">
        <w:rPr>
          <w:sz w:val="24"/>
          <w:szCs w:val="24"/>
        </w:rPr>
        <w:t>Preliminary agenda for the 2018 World Radiocommunication Conference</w:t>
      </w:r>
      <w:bookmarkEnd w:id="11"/>
    </w:p>
    <w:p w:rsidR="00F21015" w:rsidRDefault="00F21015">
      <w:pPr>
        <w:pStyle w:val="Reasons"/>
        <w:rPr>
          <w:b/>
          <w:szCs w:val="24"/>
        </w:rPr>
      </w:pPr>
    </w:p>
    <w:p w:rsidR="00F21015" w:rsidRPr="00622051" w:rsidRDefault="00F21015">
      <w:pPr>
        <w:pStyle w:val="Reasons"/>
        <w:rPr>
          <w:szCs w:val="24"/>
        </w:rPr>
      </w:pPr>
      <w:r w:rsidRPr="00622051">
        <w:rPr>
          <w:b/>
          <w:szCs w:val="24"/>
        </w:rPr>
        <w:t>Reasons:</w:t>
      </w:r>
      <w:r w:rsidRPr="00622051">
        <w:rPr>
          <w:szCs w:val="24"/>
        </w:rPr>
        <w:tab/>
      </w:r>
      <w:r w:rsidRPr="00B949D9">
        <w:rPr>
          <w:szCs w:val="24"/>
        </w:rPr>
        <w:t>This Resolution must be suppressed, as WRC-15 will create a new Resolution that will include the agenda for WRC-19.</w:t>
      </w:r>
    </w:p>
    <w:p w:rsidR="00F21015" w:rsidRDefault="00F21015">
      <w:pPr>
        <w:tabs>
          <w:tab w:val="clear" w:pos="1134"/>
          <w:tab w:val="clear" w:pos="1871"/>
          <w:tab w:val="clear" w:pos="2268"/>
        </w:tabs>
        <w:overflowPunct/>
        <w:autoSpaceDE/>
        <w:autoSpaceDN/>
        <w:adjustRightInd/>
        <w:spacing w:before="0"/>
        <w:textAlignment w:val="auto"/>
      </w:pPr>
      <w:r w:rsidRPr="00622051">
        <w:rPr>
          <w:szCs w:val="24"/>
        </w:rPr>
        <w:br w:type="page"/>
      </w:r>
    </w:p>
    <w:p w:rsidR="00F21015" w:rsidRPr="00E97032" w:rsidRDefault="00F21015" w:rsidP="009C44F6">
      <w:pPr>
        <w:pStyle w:val="AnnexNo"/>
        <w:rPr>
          <w:b/>
        </w:rPr>
      </w:pPr>
      <w:r w:rsidRPr="00E97032">
        <w:rPr>
          <w:b/>
        </w:rPr>
        <w:t>ATTACHMENT</w:t>
      </w:r>
    </w:p>
    <w:p w:rsidR="00F21015" w:rsidRPr="00345C3C" w:rsidRDefault="00F21015" w:rsidP="00345C3C">
      <w:pPr>
        <w:tabs>
          <w:tab w:val="clear" w:pos="1134"/>
          <w:tab w:val="clear" w:pos="1871"/>
          <w:tab w:val="clear" w:pos="2268"/>
        </w:tabs>
        <w:overflowPunct/>
        <w:autoSpaceDE/>
        <w:autoSpaceDN/>
        <w:adjustRightInd/>
        <w:spacing w:before="0"/>
        <w:jc w:val="both"/>
        <w:textAlignment w:val="auto"/>
        <w:rPr>
          <w:sz w:val="22"/>
          <w:szCs w:val="22"/>
        </w:rPr>
      </w:pPr>
    </w:p>
    <w:p w:rsidR="00F21015" w:rsidRPr="00345C3C" w:rsidRDefault="00F21015" w:rsidP="00345C3C">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ind w:right="2"/>
        <w:jc w:val="center"/>
        <w:textAlignment w:val="auto"/>
        <w:rPr>
          <w:b/>
          <w:sz w:val="22"/>
          <w:szCs w:val="22"/>
          <w:lang w:val="en-US"/>
        </w:rPr>
      </w:pPr>
    </w:p>
    <w:p w:rsidR="00F21015" w:rsidRPr="003329D0" w:rsidRDefault="00F21015" w:rsidP="00345C3C">
      <w:pPr>
        <w:tabs>
          <w:tab w:val="clear" w:pos="1134"/>
          <w:tab w:val="clear" w:pos="1871"/>
          <w:tab w:val="clear" w:pos="2268"/>
          <w:tab w:val="left" w:pos="699"/>
          <w:tab w:val="left" w:pos="1080"/>
          <w:tab w:val="left" w:pos="7257"/>
          <w:tab w:val="left" w:pos="7920"/>
          <w:tab w:val="left" w:pos="8508"/>
          <w:tab w:val="left" w:pos="9216"/>
        </w:tabs>
        <w:overflowPunct/>
        <w:autoSpaceDE/>
        <w:autoSpaceDN/>
        <w:adjustRightInd/>
        <w:spacing w:before="0"/>
        <w:ind w:right="2"/>
        <w:jc w:val="center"/>
        <w:textAlignment w:val="auto"/>
        <w:rPr>
          <w:b/>
          <w:szCs w:val="24"/>
          <w:lang w:val="en-US"/>
        </w:rPr>
      </w:pPr>
      <w:r w:rsidRPr="003329D0">
        <w:rPr>
          <w:b/>
          <w:szCs w:val="24"/>
          <w:lang w:val="en-US"/>
        </w:rPr>
        <w:t xml:space="preserve">PROPOSAL FOR ADDITIONAL AGENDA ITEM STUDYING THE ALLOCATION OF THE METEOROLOGICAL-SATELLITE SERVICE IN THE 460-470 MHZ BAND </w:t>
      </w:r>
    </w:p>
    <w:p w:rsidR="00F21015" w:rsidRPr="003329D0" w:rsidRDefault="00F21015" w:rsidP="00345C3C">
      <w:pPr>
        <w:keepNext/>
        <w:spacing w:before="160"/>
        <w:rPr>
          <w:b/>
          <w:color w:val="000000"/>
          <w:szCs w:val="24"/>
          <w:lang w:val="en-US"/>
        </w:rPr>
      </w:pPr>
    </w:p>
    <w:p w:rsidR="00F21015" w:rsidRPr="003329D0" w:rsidRDefault="00F21015" w:rsidP="00E97032">
      <w:pPr>
        <w:keepNext/>
        <w:spacing w:before="160"/>
        <w:rPr>
          <w:b/>
          <w:color w:val="000000"/>
          <w:szCs w:val="24"/>
          <w:lang w:val="en-US"/>
        </w:rPr>
      </w:pPr>
      <w:r w:rsidRPr="00641F81">
        <w:rPr>
          <w:b/>
          <w:bCs/>
          <w:i/>
          <w:color w:val="000000"/>
          <w:szCs w:val="24"/>
          <w:lang w:val="en-US"/>
        </w:rPr>
        <w:t>Subject:</w:t>
      </w:r>
      <w:r w:rsidRPr="003329D0">
        <w:rPr>
          <w:b/>
          <w:color w:val="000000"/>
          <w:szCs w:val="24"/>
          <w:lang w:val="en-US"/>
        </w:rPr>
        <w:t xml:space="preserve"> </w:t>
      </w:r>
      <w:r w:rsidRPr="003329D0">
        <w:rPr>
          <w:color w:val="000000"/>
          <w:szCs w:val="24"/>
          <w:lang w:val="en-US"/>
        </w:rPr>
        <w:t>Proposed Future WRC Agenda Item for WRC-2018 studying meteorological-satellite service in the 460-470 MHz band</w:t>
      </w:r>
    </w:p>
    <w:p w:rsidR="00F21015" w:rsidRDefault="00F21015" w:rsidP="00E97032">
      <w:pPr>
        <w:pStyle w:val="Index1"/>
        <w:pBdr>
          <w:bottom w:val="single" w:sz="12" w:space="1" w:color="auto"/>
        </w:pBdr>
        <w:spacing w:before="0"/>
        <w:rPr>
          <w:szCs w:val="24"/>
          <w:lang w:val="en-US"/>
        </w:rPr>
      </w:pPr>
    </w:p>
    <w:p w:rsidR="00F21015" w:rsidRDefault="00F21015" w:rsidP="00E97032">
      <w:pPr>
        <w:pStyle w:val="BodyText"/>
        <w:rPr>
          <w:b/>
          <w:spacing w:val="-1"/>
        </w:rPr>
      </w:pPr>
    </w:p>
    <w:p w:rsidR="00F21015" w:rsidRDefault="00F21015" w:rsidP="00E97032">
      <w:pPr>
        <w:pStyle w:val="BodyText"/>
      </w:pPr>
      <w:r>
        <w:rPr>
          <w:b/>
          <w:spacing w:val="-1"/>
        </w:rPr>
        <w:t>Origin</w:t>
      </w:r>
      <w:r>
        <w:rPr>
          <w:spacing w:val="-1"/>
        </w:rPr>
        <w:t>:</w:t>
      </w:r>
      <w:r>
        <w:t xml:space="preserve"> </w:t>
      </w:r>
      <w:r w:rsidRPr="00824E96">
        <w:rPr>
          <w:i w:val="0"/>
        </w:rPr>
        <w:t>Member States of the Inter-American Telecommunication Commission (CITEL)</w:t>
      </w:r>
    </w:p>
    <w:p w:rsidR="00F21015" w:rsidRPr="003329D0" w:rsidRDefault="00F21015" w:rsidP="00E97032">
      <w:pPr>
        <w:pBdr>
          <w:bottom w:val="single" w:sz="12" w:space="1" w:color="auto"/>
        </w:pBdr>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color w:val="000000"/>
          <w:szCs w:val="24"/>
          <w:lang w:val="en-US"/>
        </w:rPr>
      </w:pPr>
    </w:p>
    <w:p w:rsidR="00F21015" w:rsidRPr="0017066E" w:rsidRDefault="00F21015" w:rsidP="00E97032">
      <w:pPr>
        <w:pStyle w:val="BodyText"/>
        <w:rPr>
          <w:i w:val="0"/>
          <w:szCs w:val="24"/>
        </w:rPr>
      </w:pPr>
      <w:r w:rsidRPr="003329D0">
        <w:rPr>
          <w:b/>
          <w:bCs/>
          <w:iCs w:val="0"/>
          <w:color w:val="000000"/>
          <w:szCs w:val="24"/>
        </w:rPr>
        <w:t>Proposal</w:t>
      </w:r>
      <w:r w:rsidRPr="003329D0">
        <w:rPr>
          <w:b/>
          <w:color w:val="000000"/>
          <w:szCs w:val="24"/>
        </w:rPr>
        <w:t>:</w:t>
      </w:r>
      <w:r w:rsidRPr="003329D0">
        <w:rPr>
          <w:color w:val="000000"/>
          <w:szCs w:val="24"/>
        </w:rPr>
        <w:t xml:space="preserve"> </w:t>
      </w:r>
      <w:r w:rsidRPr="003329D0">
        <w:rPr>
          <w:i w:val="0"/>
          <w:color w:val="000000"/>
          <w:szCs w:val="24"/>
        </w:rPr>
        <w:t>To review the services in the 460-470 MHz band with a view to upgrading the meteorological satellite service to primary status</w:t>
      </w:r>
      <w:r w:rsidRPr="003329D0">
        <w:rPr>
          <w:i w:val="0"/>
          <w:szCs w:val="24"/>
        </w:rPr>
        <w:t xml:space="preserve"> while protecting the existing primary services in the band, and without imposing any additional constraints on these primary services in accordance with Resolution </w:t>
      </w:r>
      <w:r w:rsidRPr="0017066E">
        <w:rPr>
          <w:i w:val="0"/>
          <w:szCs w:val="24"/>
        </w:rPr>
        <w:t>[</w:t>
      </w:r>
      <w:r w:rsidRPr="004332B2">
        <w:rPr>
          <w:i w:val="0"/>
          <w:szCs w:val="24"/>
        </w:rPr>
        <w:t>IAP-10-460-470</w:t>
      </w:r>
      <w:r w:rsidRPr="0017066E">
        <w:rPr>
          <w:i w:val="0"/>
          <w:szCs w:val="24"/>
        </w:rPr>
        <w:t>] (WRC-15)</w:t>
      </w:r>
      <w:r>
        <w:rPr>
          <w:i w:val="0"/>
          <w:szCs w:val="24"/>
        </w:rPr>
        <w:t>.</w:t>
      </w:r>
    </w:p>
    <w:p w:rsidR="00F21015" w:rsidRDefault="00F21015" w:rsidP="00E97032">
      <w:pPr>
        <w:pStyle w:val="Index1"/>
        <w:pBdr>
          <w:bottom w:val="single" w:sz="12" w:space="1" w:color="auto"/>
        </w:pBdr>
        <w:spacing w:before="0"/>
        <w:rPr>
          <w:color w:val="000000"/>
          <w:szCs w:val="24"/>
          <w:lang w:val="es-ES"/>
        </w:rPr>
      </w:pPr>
    </w:p>
    <w:p w:rsidR="00F21015" w:rsidRPr="0017066E" w:rsidRDefault="00F21015" w:rsidP="00E97032">
      <w:pPr>
        <w:rPr>
          <w:lang w:val="es-ES"/>
        </w:rPr>
      </w:pPr>
    </w:p>
    <w:p w:rsidR="00F21015" w:rsidRPr="003329D0" w:rsidRDefault="00F21015" w:rsidP="00E97032">
      <w:pPr>
        <w:tabs>
          <w:tab w:val="clear" w:pos="1134"/>
          <w:tab w:val="clear" w:pos="1871"/>
          <w:tab w:val="clear" w:pos="2268"/>
        </w:tabs>
        <w:overflowPunct/>
        <w:autoSpaceDE/>
        <w:autoSpaceDN/>
        <w:adjustRightInd/>
        <w:spacing w:before="0"/>
        <w:textAlignment w:val="auto"/>
        <w:rPr>
          <w:szCs w:val="24"/>
          <w:lang w:val="en-US"/>
        </w:rPr>
      </w:pPr>
      <w:r w:rsidRPr="003329D0">
        <w:rPr>
          <w:b/>
          <w:i/>
          <w:color w:val="000000"/>
          <w:szCs w:val="24"/>
          <w:lang w:val="en-US"/>
        </w:rPr>
        <w:t>Background/reason</w:t>
      </w:r>
      <w:r w:rsidRPr="003329D0">
        <w:rPr>
          <w:b/>
          <w:bCs/>
          <w:i/>
          <w:iCs/>
          <w:color w:val="000000"/>
          <w:szCs w:val="24"/>
          <w:lang w:val="en-US"/>
        </w:rPr>
        <w:t>:</w:t>
      </w:r>
    </w:p>
    <w:p w:rsidR="00F21015" w:rsidRPr="003329D0" w:rsidRDefault="00F21015" w:rsidP="00E97032">
      <w:pPr>
        <w:tabs>
          <w:tab w:val="clear" w:pos="1134"/>
          <w:tab w:val="clear" w:pos="1871"/>
          <w:tab w:val="clear" w:pos="2268"/>
        </w:tabs>
        <w:overflowPunct/>
        <w:autoSpaceDE/>
        <w:autoSpaceDN/>
        <w:adjustRightInd/>
        <w:spacing w:before="0"/>
        <w:textAlignment w:val="auto"/>
        <w:rPr>
          <w:szCs w:val="24"/>
          <w:lang w:val="en-US"/>
        </w:rPr>
      </w:pPr>
      <w:r w:rsidRPr="003329D0">
        <w:rPr>
          <w:szCs w:val="24"/>
          <w:lang w:val="en-US"/>
        </w:rPr>
        <w:t>The 460-470 MHz band is allocated on a primary basis to the fixed and mobile services. The meteorological-satellite service currently has a secondary allocation in this band.  Within this band, Argos Data Collection System (ADCS) equipment on meteorological-satellites is used to monitor over 21,000 individual data collection platforms around the globe for 1,900 operators in 118 countries.  Critical ADCS supported applications include atmospheric &amp; ocean monitoring/research, tropical cyclone forecasting, fishery management, oil spill tracking, fishing vessel tracking, search &amp; rescue modeling (at sea), anti-piracy alerting, import/export &amp; hazardous materials tracking, endangered species studies, migration mapping, and wildlife tracking and management.</w:t>
      </w:r>
    </w:p>
    <w:p w:rsidR="00F21015" w:rsidRPr="003329D0" w:rsidRDefault="00F21015" w:rsidP="00E97032">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val="en-US"/>
        </w:rPr>
      </w:pPr>
    </w:p>
    <w:p w:rsidR="00F21015" w:rsidRPr="003329D0" w:rsidRDefault="00F21015" w:rsidP="00E97032">
      <w:pPr>
        <w:tabs>
          <w:tab w:val="clear" w:pos="1134"/>
          <w:tab w:val="clear" w:pos="1871"/>
          <w:tab w:val="clear" w:pos="2268"/>
        </w:tabs>
        <w:overflowPunct/>
        <w:autoSpaceDE/>
        <w:autoSpaceDN/>
        <w:adjustRightInd/>
        <w:spacing w:before="0"/>
        <w:textAlignment w:val="auto"/>
        <w:rPr>
          <w:bCs/>
          <w:color w:val="000000"/>
          <w:szCs w:val="24"/>
          <w:lang w:val="en-US"/>
        </w:rPr>
      </w:pPr>
      <w:r w:rsidRPr="003329D0">
        <w:rPr>
          <w:b/>
          <w:i/>
          <w:color w:val="000000"/>
          <w:szCs w:val="24"/>
          <w:lang w:val="en-US"/>
        </w:rPr>
        <w:t>Radiocommunication services concerned</w:t>
      </w:r>
      <w:r w:rsidRPr="003329D0">
        <w:rPr>
          <w:b/>
          <w:bCs/>
          <w:i/>
          <w:iCs/>
          <w:color w:val="000000"/>
          <w:szCs w:val="24"/>
          <w:lang w:val="en-US"/>
        </w:rPr>
        <w:t xml:space="preserve">: </w:t>
      </w:r>
      <w:r w:rsidRPr="003329D0">
        <w:rPr>
          <w:bCs/>
          <w:iCs/>
          <w:color w:val="000000"/>
          <w:szCs w:val="24"/>
          <w:lang w:val="en-US"/>
        </w:rPr>
        <w:t>Meteorological Satellite Service, Fixed Service, Mobile Service, Earth Exploration Satellite Service</w:t>
      </w:r>
    </w:p>
    <w:p w:rsidR="00F21015" w:rsidRPr="003329D0" w:rsidRDefault="00F21015" w:rsidP="00E97032">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val="en-US"/>
        </w:rPr>
      </w:pPr>
    </w:p>
    <w:p w:rsidR="00F21015" w:rsidRPr="003329D0" w:rsidRDefault="00F21015" w:rsidP="00E97032">
      <w:pPr>
        <w:tabs>
          <w:tab w:val="clear" w:pos="1134"/>
          <w:tab w:val="clear" w:pos="1871"/>
          <w:tab w:val="clear" w:pos="2268"/>
        </w:tabs>
        <w:overflowPunct/>
        <w:autoSpaceDE/>
        <w:autoSpaceDN/>
        <w:adjustRightInd/>
        <w:spacing w:before="0"/>
        <w:textAlignment w:val="auto"/>
        <w:rPr>
          <w:b/>
          <w:bCs/>
          <w:i/>
          <w:color w:val="000000"/>
          <w:szCs w:val="24"/>
          <w:lang w:val="en-US"/>
        </w:rPr>
      </w:pPr>
      <w:r w:rsidRPr="003329D0">
        <w:rPr>
          <w:b/>
          <w:i/>
          <w:color w:val="000000"/>
          <w:szCs w:val="24"/>
          <w:lang w:val="en-US"/>
        </w:rPr>
        <w:t>Indication of possible difficulties</w:t>
      </w:r>
      <w:r w:rsidRPr="003329D0">
        <w:rPr>
          <w:b/>
          <w:bCs/>
          <w:i/>
          <w:iCs/>
          <w:color w:val="000000"/>
          <w:szCs w:val="24"/>
          <w:lang w:val="en-US"/>
        </w:rPr>
        <w:t>:</w:t>
      </w:r>
      <w:r w:rsidRPr="003329D0">
        <w:rPr>
          <w:bCs/>
          <w:iCs/>
          <w:color w:val="000000"/>
          <w:szCs w:val="24"/>
          <w:lang w:val="en-US"/>
        </w:rPr>
        <w:t xml:space="preserve"> None foreseen</w:t>
      </w:r>
    </w:p>
    <w:p w:rsidR="00F21015" w:rsidRPr="003329D0" w:rsidRDefault="00F21015" w:rsidP="00E97032">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val="en-US"/>
        </w:rPr>
      </w:pPr>
    </w:p>
    <w:p w:rsidR="00F21015" w:rsidRPr="003329D0" w:rsidRDefault="00F21015" w:rsidP="00E97032">
      <w:pPr>
        <w:tabs>
          <w:tab w:val="clear" w:pos="1134"/>
          <w:tab w:val="clear" w:pos="1871"/>
          <w:tab w:val="clear" w:pos="2268"/>
        </w:tabs>
        <w:overflowPunct/>
        <w:autoSpaceDE/>
        <w:autoSpaceDN/>
        <w:adjustRightInd/>
        <w:spacing w:before="0"/>
        <w:textAlignment w:val="auto"/>
        <w:rPr>
          <w:b/>
          <w:bCs/>
          <w:i/>
          <w:color w:val="000000"/>
          <w:szCs w:val="24"/>
          <w:lang w:val="en-US"/>
        </w:rPr>
      </w:pPr>
      <w:r w:rsidRPr="003329D0">
        <w:rPr>
          <w:b/>
          <w:i/>
          <w:color w:val="000000"/>
          <w:szCs w:val="24"/>
          <w:lang w:val="en-US"/>
        </w:rPr>
        <w:t>Previous/ongoing studies on the issue</w:t>
      </w:r>
      <w:r w:rsidRPr="003329D0">
        <w:rPr>
          <w:b/>
          <w:bCs/>
          <w:i/>
          <w:iCs/>
          <w:color w:val="000000"/>
          <w:szCs w:val="24"/>
          <w:lang w:val="en-US"/>
        </w:rPr>
        <w:t>:</w:t>
      </w:r>
      <w:r w:rsidRPr="003329D0">
        <w:rPr>
          <w:bCs/>
          <w:iCs/>
          <w:color w:val="000000"/>
          <w:szCs w:val="24"/>
          <w:lang w:val="en-US"/>
        </w:rPr>
        <w:t xml:space="preserve"> None to date</w:t>
      </w:r>
    </w:p>
    <w:p w:rsidR="00F21015" w:rsidRPr="003329D0" w:rsidRDefault="00F21015" w:rsidP="00E97032">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val="en-US"/>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A0" w:firstRow="1" w:lastRow="0" w:firstColumn="1" w:lastColumn="0" w:noHBand="0" w:noVBand="0"/>
      </w:tblPr>
      <w:tblGrid>
        <w:gridCol w:w="3979"/>
        <w:gridCol w:w="5357"/>
      </w:tblGrid>
      <w:tr w:rsidR="00F21015" w:rsidRPr="003329D0" w:rsidTr="00621297">
        <w:trPr>
          <w:jc w:val="center"/>
        </w:trPr>
        <w:tc>
          <w:tcPr>
            <w:tcW w:w="3979" w:type="dxa"/>
            <w:tcBorders>
              <w:top w:val="nil"/>
              <w:left w:val="nil"/>
            </w:tcBorders>
          </w:tcPr>
          <w:p w:rsidR="00F21015" w:rsidRPr="003329D0" w:rsidRDefault="00F21015" w:rsidP="00E97032">
            <w:pPr>
              <w:framePr w:hSpace="181" w:wrap="notBeside" w:vAnchor="text" w:hAnchor="text" w:xAlign="center" w:y="1"/>
              <w:tabs>
                <w:tab w:val="clear" w:pos="1134"/>
                <w:tab w:val="clear" w:pos="1871"/>
                <w:tab w:val="clear" w:pos="2268"/>
                <w:tab w:val="left" w:pos="4366"/>
              </w:tabs>
              <w:overflowPunct/>
              <w:autoSpaceDE/>
              <w:autoSpaceDN/>
              <w:adjustRightInd/>
              <w:spacing w:before="0"/>
              <w:textAlignment w:val="auto"/>
              <w:rPr>
                <w:b/>
                <w:bCs/>
                <w:i/>
                <w:iCs/>
                <w:color w:val="000000"/>
                <w:szCs w:val="24"/>
                <w:lang w:val="en-US"/>
              </w:rPr>
            </w:pPr>
            <w:r w:rsidRPr="003329D0">
              <w:rPr>
                <w:b/>
                <w:i/>
                <w:color w:val="000000"/>
                <w:szCs w:val="24"/>
                <w:lang w:val="en-US"/>
              </w:rPr>
              <w:t>Studies to be carried out by</w:t>
            </w:r>
            <w:r w:rsidRPr="003329D0">
              <w:rPr>
                <w:b/>
                <w:bCs/>
                <w:i/>
                <w:iCs/>
                <w:color w:val="000000"/>
                <w:szCs w:val="24"/>
                <w:lang w:val="en-US"/>
              </w:rPr>
              <w:t xml:space="preserve">: </w:t>
            </w:r>
            <w:r w:rsidRPr="003329D0">
              <w:rPr>
                <w:bCs/>
                <w:iCs/>
                <w:color w:val="000000"/>
                <w:szCs w:val="24"/>
                <w:lang w:val="en-US"/>
              </w:rPr>
              <w:t>SG7</w:t>
            </w:r>
          </w:p>
        </w:tc>
        <w:tc>
          <w:tcPr>
            <w:tcW w:w="5357" w:type="dxa"/>
            <w:tcBorders>
              <w:top w:val="nil"/>
              <w:right w:val="nil"/>
            </w:tcBorders>
          </w:tcPr>
          <w:p w:rsidR="00F21015" w:rsidRPr="003329D0" w:rsidRDefault="00F21015" w:rsidP="00E97032">
            <w:pPr>
              <w:framePr w:hSpace="181" w:wrap="notBeside" w:vAnchor="text" w:hAnchor="text" w:xAlign="center" w:y="1"/>
              <w:tabs>
                <w:tab w:val="clear" w:pos="1134"/>
                <w:tab w:val="clear" w:pos="1871"/>
                <w:tab w:val="clear" w:pos="2268"/>
                <w:tab w:val="left" w:pos="360"/>
                <w:tab w:val="left" w:pos="900"/>
                <w:tab w:val="left" w:pos="4366"/>
              </w:tabs>
              <w:overflowPunct/>
              <w:autoSpaceDE/>
              <w:autoSpaceDN/>
              <w:adjustRightInd/>
              <w:spacing w:before="0"/>
              <w:ind w:left="113"/>
              <w:textAlignment w:val="auto"/>
              <w:rPr>
                <w:i/>
                <w:iCs/>
                <w:color w:val="000000"/>
                <w:szCs w:val="24"/>
                <w:lang w:val="en-US"/>
              </w:rPr>
            </w:pPr>
            <w:r w:rsidRPr="003329D0">
              <w:rPr>
                <w:bCs/>
                <w:i/>
                <w:color w:val="000000"/>
                <w:szCs w:val="24"/>
                <w:lang w:val="en-US"/>
              </w:rPr>
              <w:t>with the participation of</w:t>
            </w:r>
            <w:r w:rsidRPr="003329D0">
              <w:rPr>
                <w:i/>
                <w:iCs/>
                <w:color w:val="000000"/>
                <w:szCs w:val="24"/>
                <w:lang w:val="en-US"/>
              </w:rPr>
              <w:t xml:space="preserve">: </w:t>
            </w:r>
          </w:p>
          <w:p w:rsidR="00F21015" w:rsidRPr="003329D0" w:rsidRDefault="00F21015" w:rsidP="00E97032">
            <w:pPr>
              <w:framePr w:hSpace="181" w:wrap="notBeside" w:vAnchor="text" w:hAnchor="text" w:xAlign="center" w:y="1"/>
              <w:tabs>
                <w:tab w:val="clear" w:pos="1134"/>
                <w:tab w:val="clear" w:pos="1871"/>
                <w:tab w:val="clear" w:pos="2268"/>
                <w:tab w:val="left" w:pos="4366"/>
              </w:tabs>
              <w:overflowPunct/>
              <w:autoSpaceDE/>
              <w:autoSpaceDN/>
              <w:adjustRightInd/>
              <w:spacing w:before="0"/>
              <w:textAlignment w:val="auto"/>
              <w:rPr>
                <w:b/>
                <w:bCs/>
                <w:i/>
                <w:iCs/>
                <w:color w:val="000000"/>
                <w:szCs w:val="24"/>
                <w:lang w:val="en-US"/>
              </w:rPr>
            </w:pPr>
          </w:p>
        </w:tc>
      </w:tr>
    </w:tbl>
    <w:p w:rsidR="00F21015" w:rsidRPr="003329D0" w:rsidRDefault="00F21015" w:rsidP="00E97032">
      <w:pPr>
        <w:tabs>
          <w:tab w:val="clear" w:pos="1134"/>
          <w:tab w:val="clear" w:pos="1871"/>
          <w:tab w:val="clear" w:pos="2268"/>
        </w:tabs>
        <w:overflowPunct/>
        <w:autoSpaceDE/>
        <w:autoSpaceDN/>
        <w:adjustRightInd/>
        <w:spacing w:before="0"/>
        <w:textAlignment w:val="auto"/>
        <w:rPr>
          <w:bCs/>
          <w:color w:val="000000"/>
          <w:szCs w:val="24"/>
          <w:lang w:val="en-US"/>
        </w:rPr>
      </w:pPr>
      <w:r w:rsidRPr="003329D0">
        <w:rPr>
          <w:b/>
          <w:i/>
          <w:color w:val="000000"/>
          <w:szCs w:val="24"/>
          <w:lang w:val="en-US"/>
        </w:rPr>
        <w:t>ITU-R Study Groups concerned</w:t>
      </w:r>
      <w:r w:rsidRPr="003329D0">
        <w:rPr>
          <w:b/>
          <w:bCs/>
          <w:i/>
          <w:iCs/>
          <w:color w:val="000000"/>
          <w:szCs w:val="24"/>
          <w:lang w:val="en-US"/>
        </w:rPr>
        <w:t xml:space="preserve">: </w:t>
      </w:r>
      <w:r w:rsidRPr="003329D0">
        <w:rPr>
          <w:bCs/>
          <w:iCs/>
          <w:color w:val="000000"/>
          <w:szCs w:val="24"/>
          <w:lang w:val="en-US"/>
        </w:rPr>
        <w:t>SG5</w:t>
      </w:r>
    </w:p>
    <w:p w:rsidR="00F21015" w:rsidRPr="003329D0" w:rsidRDefault="00F21015" w:rsidP="00E97032">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val="en-US"/>
        </w:rPr>
      </w:pPr>
    </w:p>
    <w:p w:rsidR="00F21015" w:rsidRPr="003329D0" w:rsidRDefault="00F21015" w:rsidP="00E97032">
      <w:pPr>
        <w:tabs>
          <w:tab w:val="clear" w:pos="1134"/>
          <w:tab w:val="clear" w:pos="1871"/>
          <w:tab w:val="clear" w:pos="2268"/>
          <w:tab w:val="left" w:pos="360"/>
          <w:tab w:val="left" w:pos="900"/>
        </w:tabs>
        <w:overflowPunct/>
        <w:autoSpaceDE/>
        <w:autoSpaceDN/>
        <w:adjustRightInd/>
        <w:spacing w:before="0"/>
        <w:textAlignment w:val="auto"/>
        <w:rPr>
          <w:i/>
          <w:iCs/>
          <w:color w:val="000000"/>
          <w:szCs w:val="24"/>
          <w:lang w:val="en-US"/>
        </w:rPr>
      </w:pPr>
      <w:r w:rsidRPr="003329D0">
        <w:rPr>
          <w:bCs/>
          <w:i/>
          <w:color w:val="000000"/>
          <w:szCs w:val="24"/>
          <w:lang w:val="en-US"/>
        </w:rPr>
        <w:t>ITU resource implications, including financial implications (refer to CV126)</w:t>
      </w:r>
      <w:r w:rsidRPr="003329D0">
        <w:rPr>
          <w:i/>
          <w:iCs/>
          <w:color w:val="000000"/>
          <w:szCs w:val="24"/>
          <w:lang w:val="en-US"/>
        </w:rPr>
        <w:t xml:space="preserve">: </w:t>
      </w:r>
      <w:r w:rsidRPr="003329D0">
        <w:rPr>
          <w:b/>
          <w:iCs/>
          <w:color w:val="000000"/>
          <w:szCs w:val="24"/>
          <w:lang w:val="en-US"/>
        </w:rPr>
        <w:t>Minimal</w:t>
      </w:r>
    </w:p>
    <w:p w:rsidR="00F21015" w:rsidRPr="003329D0" w:rsidRDefault="00F21015" w:rsidP="00E97032">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val="en-US"/>
        </w:rPr>
      </w:pPr>
    </w:p>
    <w:p w:rsidR="00F21015" w:rsidRPr="003329D0" w:rsidRDefault="00F21015" w:rsidP="00E97032">
      <w:pPr>
        <w:tabs>
          <w:tab w:val="clear" w:pos="1134"/>
          <w:tab w:val="clear" w:pos="1871"/>
          <w:tab w:val="clear" w:pos="2268"/>
          <w:tab w:val="left" w:pos="4366"/>
        </w:tabs>
        <w:overflowPunct/>
        <w:autoSpaceDE/>
        <w:autoSpaceDN/>
        <w:adjustRightInd/>
        <w:spacing w:before="0"/>
        <w:textAlignment w:val="auto"/>
        <w:rPr>
          <w:color w:val="000000"/>
          <w:szCs w:val="24"/>
          <w:lang w:val="en-US"/>
        </w:rPr>
      </w:pPr>
      <w:r w:rsidRPr="003329D0">
        <w:rPr>
          <w:b/>
          <w:i/>
          <w:color w:val="000000"/>
          <w:szCs w:val="24"/>
          <w:lang w:val="en-US"/>
        </w:rPr>
        <w:t>Common regional proposal</w:t>
      </w:r>
      <w:r w:rsidRPr="003329D0">
        <w:rPr>
          <w:b/>
          <w:bCs/>
          <w:i/>
          <w:iCs/>
          <w:color w:val="000000"/>
          <w:szCs w:val="24"/>
          <w:lang w:val="en-US"/>
        </w:rPr>
        <w:t>:</w:t>
      </w:r>
      <w:r w:rsidRPr="003329D0">
        <w:rPr>
          <w:color w:val="000000"/>
          <w:szCs w:val="24"/>
          <w:lang w:val="en-US"/>
        </w:rPr>
        <w:t xml:space="preserve">  Yes/No</w:t>
      </w:r>
      <w:r w:rsidRPr="003329D0">
        <w:rPr>
          <w:color w:val="000000"/>
          <w:szCs w:val="24"/>
          <w:lang w:val="en-US"/>
        </w:rPr>
        <w:tab/>
      </w:r>
      <w:r w:rsidRPr="003329D0">
        <w:rPr>
          <w:b/>
          <w:i/>
          <w:color w:val="000000"/>
          <w:szCs w:val="24"/>
          <w:lang w:val="en-US"/>
        </w:rPr>
        <w:t>Multicountry proposal</w:t>
      </w:r>
      <w:r w:rsidRPr="003329D0">
        <w:rPr>
          <w:b/>
          <w:bCs/>
          <w:i/>
          <w:iCs/>
          <w:color w:val="000000"/>
          <w:szCs w:val="24"/>
          <w:lang w:val="en-US"/>
        </w:rPr>
        <w:t xml:space="preserve">:  </w:t>
      </w:r>
      <w:r w:rsidRPr="003329D0">
        <w:rPr>
          <w:color w:val="000000"/>
          <w:szCs w:val="24"/>
          <w:lang w:val="en-US"/>
        </w:rPr>
        <w:t>Yes/No</w:t>
      </w:r>
    </w:p>
    <w:p w:rsidR="00F21015" w:rsidRPr="003329D0" w:rsidRDefault="00F21015" w:rsidP="00E97032">
      <w:pPr>
        <w:tabs>
          <w:tab w:val="clear" w:pos="1134"/>
          <w:tab w:val="clear" w:pos="1871"/>
          <w:tab w:val="clear" w:pos="2268"/>
          <w:tab w:val="left" w:pos="360"/>
          <w:tab w:val="left" w:pos="900"/>
          <w:tab w:val="left" w:pos="4366"/>
        </w:tabs>
        <w:overflowPunct/>
        <w:autoSpaceDE/>
        <w:autoSpaceDN/>
        <w:adjustRightInd/>
        <w:spacing w:before="0"/>
        <w:textAlignment w:val="auto"/>
        <w:rPr>
          <w:i/>
          <w:iCs/>
          <w:color w:val="000000"/>
          <w:szCs w:val="24"/>
          <w:lang w:val="en-US"/>
        </w:rPr>
      </w:pPr>
      <w:r w:rsidRPr="003329D0">
        <w:rPr>
          <w:i/>
          <w:iCs/>
          <w:color w:val="000000"/>
          <w:szCs w:val="24"/>
          <w:lang w:val="en-US"/>
        </w:rPr>
        <w:tab/>
        <w:t>Number of countries:</w:t>
      </w:r>
    </w:p>
    <w:p w:rsidR="00F21015" w:rsidRPr="003329D0" w:rsidRDefault="00F21015" w:rsidP="00E97032">
      <w:pPr>
        <w:pBdr>
          <w:bottom w:val="single" w:sz="12" w:space="1" w:color="auto"/>
        </w:pBdr>
        <w:tabs>
          <w:tab w:val="clear" w:pos="1134"/>
          <w:tab w:val="clear" w:pos="1871"/>
          <w:tab w:val="clear" w:pos="2268"/>
        </w:tabs>
        <w:overflowPunct/>
        <w:autoSpaceDE/>
        <w:autoSpaceDN/>
        <w:adjustRightInd/>
        <w:spacing w:before="0"/>
        <w:textAlignment w:val="auto"/>
        <w:rPr>
          <w:color w:val="000000"/>
          <w:szCs w:val="24"/>
          <w:lang w:val="en-US"/>
        </w:rPr>
      </w:pPr>
    </w:p>
    <w:p w:rsidR="00F21015" w:rsidRPr="003329D0" w:rsidRDefault="00F21015" w:rsidP="00345C3C">
      <w:pPr>
        <w:tabs>
          <w:tab w:val="clear" w:pos="1134"/>
          <w:tab w:val="clear" w:pos="1871"/>
          <w:tab w:val="clear" w:pos="2268"/>
        </w:tabs>
        <w:overflowPunct/>
        <w:autoSpaceDE/>
        <w:autoSpaceDN/>
        <w:adjustRightInd/>
        <w:spacing w:before="0"/>
        <w:textAlignment w:val="auto"/>
        <w:rPr>
          <w:color w:val="000000"/>
          <w:szCs w:val="24"/>
          <w:lang w:val="en-US"/>
        </w:rPr>
      </w:pPr>
      <w:r w:rsidRPr="003329D0">
        <w:rPr>
          <w:b/>
          <w:bCs/>
          <w:i/>
          <w:iCs/>
          <w:color w:val="000000"/>
          <w:szCs w:val="24"/>
          <w:lang w:val="en-US"/>
        </w:rPr>
        <w:lastRenderedPageBreak/>
        <w:t>Remarks</w:t>
      </w:r>
    </w:p>
    <w:p w:rsidR="00F21015" w:rsidRPr="003329D0" w:rsidRDefault="00F21015" w:rsidP="009C44F6">
      <w:pPr>
        <w:pStyle w:val="Reasons"/>
        <w:rPr>
          <w:szCs w:val="24"/>
        </w:rPr>
      </w:pPr>
    </w:p>
    <w:sectPr w:rsidR="00F21015" w:rsidRPr="003329D0" w:rsidSect="004863F2">
      <w:headerReference w:type="default" r:id="rId9"/>
      <w:footerReference w:type="even" r:id="rId10"/>
      <w:footerReference w:type="default" r:id="rId11"/>
      <w:footerReference w:type="first" r:id="rId12"/>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94F" w:rsidRDefault="0044694F">
      <w:r>
        <w:separator/>
      </w:r>
    </w:p>
  </w:endnote>
  <w:endnote w:type="continuationSeparator" w:id="0">
    <w:p w:rsidR="0044694F" w:rsidRDefault="0044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015" w:rsidRDefault="00F21015">
    <w:pPr>
      <w:framePr w:wrap="around" w:vAnchor="text" w:hAnchor="margin" w:xAlign="right" w:y="1"/>
    </w:pPr>
    <w:r>
      <w:fldChar w:fldCharType="begin"/>
    </w:r>
    <w:r>
      <w:instrText xml:space="preserve">PAGE  </w:instrText>
    </w:r>
    <w:r>
      <w:fldChar w:fldCharType="end"/>
    </w:r>
  </w:p>
  <w:p w:rsidR="00F21015" w:rsidRPr="0041348E" w:rsidRDefault="0044694F">
    <w:pPr>
      <w:ind w:right="360"/>
      <w:rPr>
        <w:lang w:val="en-US"/>
      </w:rPr>
    </w:pPr>
    <w:r>
      <w:fldChar w:fldCharType="begin"/>
    </w:r>
    <w:r>
      <w:instrText xml:space="preserve"> FILENAME \p  \* MERGEFORMAT </w:instrText>
    </w:r>
    <w:r>
      <w:fldChar w:fldCharType="separate"/>
    </w:r>
    <w:r w:rsidR="00F21015">
      <w:rPr>
        <w:noProof/>
        <w:lang w:val="en-US"/>
      </w:rPr>
      <w:t>C:\Users\manias\Dropbox\ProposalManagement\ProposalSharing\WRC15\Templates\WRC15-E.docx</w:t>
    </w:r>
    <w:r>
      <w:rPr>
        <w:noProof/>
        <w:lang w:val="en-US"/>
      </w:rPr>
      <w:fldChar w:fldCharType="end"/>
    </w:r>
    <w:r w:rsidR="00F21015" w:rsidRPr="0041348E">
      <w:rPr>
        <w:lang w:val="en-US"/>
      </w:rPr>
      <w:tab/>
    </w:r>
    <w:r>
      <w:fldChar w:fldCharType="begin"/>
    </w:r>
    <w:r>
      <w:instrText xml:space="preserve"> SAVEDATE \@ DD.MM.YY </w:instrText>
    </w:r>
    <w:r>
      <w:fldChar w:fldCharType="separate"/>
    </w:r>
    <w:r w:rsidR="00963FD2">
      <w:rPr>
        <w:noProof/>
      </w:rPr>
      <w:t>25.08.15</w:t>
    </w:r>
    <w:r>
      <w:rPr>
        <w:noProof/>
      </w:rPr>
      <w:fldChar w:fldCharType="end"/>
    </w:r>
    <w:r w:rsidR="00F21015" w:rsidRPr="0041348E">
      <w:rPr>
        <w:lang w:val="en-US"/>
      </w:rPr>
      <w:tab/>
    </w:r>
    <w:r>
      <w:fldChar w:fldCharType="begin"/>
    </w:r>
    <w:r>
      <w:instrText xml:space="preserve"> PRINTDATE \@ DD.MM.YY </w:instrText>
    </w:r>
    <w:r>
      <w:fldChar w:fldCharType="separate"/>
    </w:r>
    <w:r w:rsidR="00F21015">
      <w:rPr>
        <w:noProof/>
      </w:rPr>
      <w:t>10.02.14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015" w:rsidRDefault="0044694F" w:rsidP="00A30305">
    <w:pPr>
      <w:pStyle w:val="Footer"/>
    </w:pPr>
    <w:r>
      <w:fldChar w:fldCharType="begin"/>
    </w:r>
    <w:r>
      <w:instrText xml:space="preserve"> FILENAME \p  \* MERGEFORMAT </w:instrText>
    </w:r>
    <w:r>
      <w:fldChar w:fldCharType="separate"/>
    </w:r>
    <w:r w:rsidR="00F21015">
      <w:rPr>
        <w:lang w:val="en-US"/>
      </w:rPr>
      <w:t>C:\Users\manias\Dropbox\ProposalManagement\ProposalSharing\WRC15\Templates\WRC15-E.docx</w:t>
    </w:r>
    <w:r>
      <w:rPr>
        <w:lang w:val="en-US"/>
      </w:rPr>
      <w:fldChar w:fldCharType="end"/>
    </w:r>
    <w:r w:rsidR="00F21015" w:rsidRPr="0041348E">
      <w:rPr>
        <w:lang w:val="en-US"/>
      </w:rPr>
      <w:tab/>
    </w:r>
    <w:r>
      <w:fldChar w:fldCharType="begin"/>
    </w:r>
    <w:r>
      <w:instrText xml:space="preserve"> SAVEDATE \@ DD.MM.YY </w:instrText>
    </w:r>
    <w:r>
      <w:fldChar w:fldCharType="separate"/>
    </w:r>
    <w:r w:rsidR="00963FD2">
      <w:t>25.08.15</w:t>
    </w:r>
    <w:r>
      <w:fldChar w:fldCharType="end"/>
    </w:r>
    <w:r w:rsidR="00F21015" w:rsidRPr="0041348E">
      <w:rPr>
        <w:lang w:val="en-US"/>
      </w:rPr>
      <w:tab/>
    </w:r>
    <w:r>
      <w:fldChar w:fldCharType="begin"/>
    </w:r>
    <w:r>
      <w:instrText xml:space="preserve"> PRINTDATE \@ DD.MM.YY </w:instrText>
    </w:r>
    <w:r>
      <w:fldChar w:fldCharType="separate"/>
    </w:r>
    <w:r w:rsidR="00F21015">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015" w:rsidRPr="0041348E" w:rsidRDefault="0044694F" w:rsidP="00A30305">
    <w:pPr>
      <w:pStyle w:val="Footer"/>
      <w:rPr>
        <w:lang w:val="en-US"/>
      </w:rPr>
    </w:pPr>
    <w:r>
      <w:fldChar w:fldCharType="begin"/>
    </w:r>
    <w:r>
      <w:instrText xml:space="preserve"> FILENAME \p  \* MERGEFORMAT </w:instrText>
    </w:r>
    <w:r>
      <w:fldChar w:fldCharType="separate"/>
    </w:r>
    <w:r w:rsidR="00F21015">
      <w:rPr>
        <w:lang w:val="en-US"/>
      </w:rPr>
      <w:t>C:\Users\manias\Dropbox\ProposalManagement\ProposalSharing\WRC15\Templates\WRC15-E.docx</w:t>
    </w:r>
    <w:r>
      <w:rPr>
        <w:lang w:val="en-US"/>
      </w:rPr>
      <w:fldChar w:fldCharType="end"/>
    </w:r>
    <w:r w:rsidR="00F21015" w:rsidRPr="0041348E">
      <w:rPr>
        <w:lang w:val="en-US"/>
      </w:rPr>
      <w:tab/>
    </w:r>
    <w:r>
      <w:fldChar w:fldCharType="begin"/>
    </w:r>
    <w:r>
      <w:instrText xml:space="preserve"> SAVEDATE \@ DD.MM.YY </w:instrText>
    </w:r>
    <w:r>
      <w:fldChar w:fldCharType="separate"/>
    </w:r>
    <w:r w:rsidR="00963FD2">
      <w:t>25.08.15</w:t>
    </w:r>
    <w:r>
      <w:fldChar w:fldCharType="end"/>
    </w:r>
    <w:r w:rsidR="00F21015" w:rsidRPr="0041348E">
      <w:rPr>
        <w:lang w:val="en-US"/>
      </w:rPr>
      <w:tab/>
    </w:r>
    <w:r>
      <w:fldChar w:fldCharType="begin"/>
    </w:r>
    <w:r>
      <w:instrText xml:space="preserve"> PRINTDATE \@ DD.MM.YY </w:instrText>
    </w:r>
    <w:r>
      <w:fldChar w:fldCharType="separate"/>
    </w:r>
    <w:r w:rsidR="00F21015">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94F" w:rsidRDefault="0044694F">
      <w:r>
        <w:rPr>
          <w:b/>
        </w:rPr>
        <w:t>_______________</w:t>
      </w:r>
    </w:p>
  </w:footnote>
  <w:footnote w:type="continuationSeparator" w:id="0">
    <w:p w:rsidR="0044694F" w:rsidRDefault="00446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015" w:rsidRDefault="0044694F" w:rsidP="00187BD9">
    <w:pPr>
      <w:pStyle w:val="Header"/>
    </w:pPr>
    <w:r>
      <w:fldChar w:fldCharType="begin"/>
    </w:r>
    <w:r>
      <w:instrText xml:space="preserve"> PAGE  \* MERGEFORMAT </w:instrText>
    </w:r>
    <w:r>
      <w:fldChar w:fldCharType="separate"/>
    </w:r>
    <w:r w:rsidR="00963FD2">
      <w:rPr>
        <w:noProof/>
      </w:rPr>
      <w:t>4</w:t>
    </w:r>
    <w:r>
      <w:rPr>
        <w:noProof/>
      </w:rPr>
      <w:fldChar w:fldCharType="end"/>
    </w:r>
  </w:p>
  <w:p w:rsidR="00F21015" w:rsidRPr="00A066F1" w:rsidRDefault="00F21015" w:rsidP="00241FA2">
    <w:pPr>
      <w:pStyle w:val="Header"/>
    </w:pPr>
    <w:r>
      <w:t>CMR15/</w:t>
    </w:r>
    <w:bookmarkStart w:id="12" w:name="OLE_LINK1"/>
    <w:bookmarkStart w:id="13" w:name="OLE_LINK2"/>
    <w:bookmarkStart w:id="14" w:name="OLE_LINK3"/>
    <w:bookmarkEnd w:id="12"/>
    <w:bookmarkEnd w:id="13"/>
    <w:bookmarkEnd w:id="14"/>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rPr>
        <w:rFonts w:cs="Times New Roman"/>
      </w:rPr>
    </w:lvl>
  </w:abstractNum>
  <w:abstractNum w:abstractNumId="1">
    <w:nsid w:val="FFFFFFFE"/>
    <w:multiLevelType w:val="singleLevel"/>
    <w:tmpl w:val="B39284A0"/>
    <w:lvl w:ilvl="0">
      <w:numFmt w:val="decimal"/>
      <w:lvlText w:val="*"/>
      <w:lvlJc w:val="left"/>
      <w:rPr>
        <w:rFonts w:cs="Times New Roman"/>
      </w:rPr>
    </w:lvl>
  </w:abstractNum>
  <w:abstractNum w:abstractNumId="2">
    <w:nsid w:val="1DCA7C47"/>
    <w:multiLevelType w:val="multilevel"/>
    <w:tmpl w:val="2904CF30"/>
    <w:lvl w:ilvl="0">
      <w:start w:val="1"/>
      <w:numFmt w:val="decimal"/>
      <w:lvlText w:val="%1."/>
      <w:lvlJc w:val="left"/>
      <w:pPr>
        <w:ind w:left="360" w:hanging="360"/>
      </w:pPr>
      <w:rPr>
        <w:rFonts w:cs="Times New Roman"/>
      </w:rPr>
    </w:lvl>
    <w:lvl w:ilvl="1">
      <w:start w:val="1"/>
      <w:numFmt w:val="upperLetter"/>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6F1"/>
    <w:rsid w:val="000002F2"/>
    <w:rsid w:val="000041EA"/>
    <w:rsid w:val="00007629"/>
    <w:rsid w:val="00022A29"/>
    <w:rsid w:val="00025864"/>
    <w:rsid w:val="000355FD"/>
    <w:rsid w:val="00051E39"/>
    <w:rsid w:val="000705F2"/>
    <w:rsid w:val="00077239"/>
    <w:rsid w:val="00086491"/>
    <w:rsid w:val="00091346"/>
    <w:rsid w:val="0009706C"/>
    <w:rsid w:val="000B783A"/>
    <w:rsid w:val="000D154B"/>
    <w:rsid w:val="000F242B"/>
    <w:rsid w:val="000F73FF"/>
    <w:rsid w:val="00114CF7"/>
    <w:rsid w:val="00115B8F"/>
    <w:rsid w:val="00122BDA"/>
    <w:rsid w:val="00123B68"/>
    <w:rsid w:val="00126F2E"/>
    <w:rsid w:val="00146F6F"/>
    <w:rsid w:val="0017066E"/>
    <w:rsid w:val="00187BD9"/>
    <w:rsid w:val="00190B55"/>
    <w:rsid w:val="001C3B5F"/>
    <w:rsid w:val="001D058F"/>
    <w:rsid w:val="001E487E"/>
    <w:rsid w:val="002009EA"/>
    <w:rsid w:val="00202CA0"/>
    <w:rsid w:val="00216B6D"/>
    <w:rsid w:val="00241FA2"/>
    <w:rsid w:val="00271316"/>
    <w:rsid w:val="00281C55"/>
    <w:rsid w:val="00282EBC"/>
    <w:rsid w:val="002A110E"/>
    <w:rsid w:val="002B349C"/>
    <w:rsid w:val="002B37BF"/>
    <w:rsid w:val="002C3389"/>
    <w:rsid w:val="002D58BE"/>
    <w:rsid w:val="002F00A0"/>
    <w:rsid w:val="00323370"/>
    <w:rsid w:val="003329D0"/>
    <w:rsid w:val="00345C3C"/>
    <w:rsid w:val="00346CA5"/>
    <w:rsid w:val="00361B37"/>
    <w:rsid w:val="00377BD3"/>
    <w:rsid w:val="00384088"/>
    <w:rsid w:val="003852CE"/>
    <w:rsid w:val="0039169B"/>
    <w:rsid w:val="003A7F8C"/>
    <w:rsid w:val="003B2284"/>
    <w:rsid w:val="003B532E"/>
    <w:rsid w:val="003C7779"/>
    <w:rsid w:val="003D0F8B"/>
    <w:rsid w:val="003E0DB6"/>
    <w:rsid w:val="00412E14"/>
    <w:rsid w:val="0041348E"/>
    <w:rsid w:val="00420873"/>
    <w:rsid w:val="004332B2"/>
    <w:rsid w:val="004415B9"/>
    <w:rsid w:val="0044694F"/>
    <w:rsid w:val="004863F2"/>
    <w:rsid w:val="00492075"/>
    <w:rsid w:val="004969AD"/>
    <w:rsid w:val="004A26C4"/>
    <w:rsid w:val="004B13CB"/>
    <w:rsid w:val="004D26EA"/>
    <w:rsid w:val="004D2BFB"/>
    <w:rsid w:val="004D5D5C"/>
    <w:rsid w:val="004E06AA"/>
    <w:rsid w:val="0050139F"/>
    <w:rsid w:val="00504511"/>
    <w:rsid w:val="0051236E"/>
    <w:rsid w:val="00520C00"/>
    <w:rsid w:val="0055140B"/>
    <w:rsid w:val="005847E8"/>
    <w:rsid w:val="005964AB"/>
    <w:rsid w:val="005A0BE3"/>
    <w:rsid w:val="005C099A"/>
    <w:rsid w:val="005C31A5"/>
    <w:rsid w:val="005E10C9"/>
    <w:rsid w:val="005E290B"/>
    <w:rsid w:val="005E61DD"/>
    <w:rsid w:val="006023DF"/>
    <w:rsid w:val="00606B21"/>
    <w:rsid w:val="00616219"/>
    <w:rsid w:val="00617BE4"/>
    <w:rsid w:val="00621297"/>
    <w:rsid w:val="00622051"/>
    <w:rsid w:val="00641F81"/>
    <w:rsid w:val="00651EBE"/>
    <w:rsid w:val="00657DE0"/>
    <w:rsid w:val="00672823"/>
    <w:rsid w:val="00683922"/>
    <w:rsid w:val="00685313"/>
    <w:rsid w:val="006905BC"/>
    <w:rsid w:val="00692833"/>
    <w:rsid w:val="006A6E9B"/>
    <w:rsid w:val="006B6AD7"/>
    <w:rsid w:val="006B7C2A"/>
    <w:rsid w:val="006C23DA"/>
    <w:rsid w:val="006E2AFA"/>
    <w:rsid w:val="006E3D45"/>
    <w:rsid w:val="00706E88"/>
    <w:rsid w:val="007149F9"/>
    <w:rsid w:val="00733A30"/>
    <w:rsid w:val="00745AEE"/>
    <w:rsid w:val="00750F10"/>
    <w:rsid w:val="007742CA"/>
    <w:rsid w:val="00784784"/>
    <w:rsid w:val="00785D31"/>
    <w:rsid w:val="00790D70"/>
    <w:rsid w:val="007A6F1F"/>
    <w:rsid w:val="007C2CA4"/>
    <w:rsid w:val="007D5320"/>
    <w:rsid w:val="00800972"/>
    <w:rsid w:val="00804475"/>
    <w:rsid w:val="00811633"/>
    <w:rsid w:val="00824E96"/>
    <w:rsid w:val="00826DAB"/>
    <w:rsid w:val="00841216"/>
    <w:rsid w:val="00872FC8"/>
    <w:rsid w:val="008845D0"/>
    <w:rsid w:val="00884D60"/>
    <w:rsid w:val="00892AA4"/>
    <w:rsid w:val="00895FE2"/>
    <w:rsid w:val="008B2DBA"/>
    <w:rsid w:val="008B43F2"/>
    <w:rsid w:val="008B6601"/>
    <w:rsid w:val="008B6CFF"/>
    <w:rsid w:val="008D7EA3"/>
    <w:rsid w:val="00912A4E"/>
    <w:rsid w:val="009218EA"/>
    <w:rsid w:val="009274B4"/>
    <w:rsid w:val="00934EA2"/>
    <w:rsid w:val="00944A5C"/>
    <w:rsid w:val="00952A66"/>
    <w:rsid w:val="00956C95"/>
    <w:rsid w:val="00963FD2"/>
    <w:rsid w:val="009656F4"/>
    <w:rsid w:val="009860C9"/>
    <w:rsid w:val="009A2B70"/>
    <w:rsid w:val="009B7C9A"/>
    <w:rsid w:val="009C44F6"/>
    <w:rsid w:val="009C56E5"/>
    <w:rsid w:val="009E5FC8"/>
    <w:rsid w:val="009E687A"/>
    <w:rsid w:val="00A066F1"/>
    <w:rsid w:val="00A141AF"/>
    <w:rsid w:val="00A16D29"/>
    <w:rsid w:val="00A30305"/>
    <w:rsid w:val="00A31D2D"/>
    <w:rsid w:val="00A4600A"/>
    <w:rsid w:val="00A538A6"/>
    <w:rsid w:val="00A54C25"/>
    <w:rsid w:val="00A710E7"/>
    <w:rsid w:val="00A71E94"/>
    <w:rsid w:val="00A7372E"/>
    <w:rsid w:val="00A756BE"/>
    <w:rsid w:val="00A812C3"/>
    <w:rsid w:val="00A93B85"/>
    <w:rsid w:val="00AA0B18"/>
    <w:rsid w:val="00AA3C65"/>
    <w:rsid w:val="00AA666F"/>
    <w:rsid w:val="00AB4102"/>
    <w:rsid w:val="00B02325"/>
    <w:rsid w:val="00B14569"/>
    <w:rsid w:val="00B639E9"/>
    <w:rsid w:val="00B817CD"/>
    <w:rsid w:val="00B81A7D"/>
    <w:rsid w:val="00B949D9"/>
    <w:rsid w:val="00B94AD0"/>
    <w:rsid w:val="00BB3A95"/>
    <w:rsid w:val="00BD335A"/>
    <w:rsid w:val="00BD6CCE"/>
    <w:rsid w:val="00BF3202"/>
    <w:rsid w:val="00C0018F"/>
    <w:rsid w:val="00C02042"/>
    <w:rsid w:val="00C16A5A"/>
    <w:rsid w:val="00C20466"/>
    <w:rsid w:val="00C214ED"/>
    <w:rsid w:val="00C234E6"/>
    <w:rsid w:val="00C324A8"/>
    <w:rsid w:val="00C505C6"/>
    <w:rsid w:val="00C54517"/>
    <w:rsid w:val="00C64CD8"/>
    <w:rsid w:val="00C95F8B"/>
    <w:rsid w:val="00C97C68"/>
    <w:rsid w:val="00CA1A47"/>
    <w:rsid w:val="00CA7C29"/>
    <w:rsid w:val="00CB44E5"/>
    <w:rsid w:val="00CC247A"/>
    <w:rsid w:val="00CE388F"/>
    <w:rsid w:val="00CE5E47"/>
    <w:rsid w:val="00CF020F"/>
    <w:rsid w:val="00CF2B5B"/>
    <w:rsid w:val="00CF33A5"/>
    <w:rsid w:val="00D14CE0"/>
    <w:rsid w:val="00D2681C"/>
    <w:rsid w:val="00D268B3"/>
    <w:rsid w:val="00D54009"/>
    <w:rsid w:val="00D5651D"/>
    <w:rsid w:val="00D57A34"/>
    <w:rsid w:val="00D74898"/>
    <w:rsid w:val="00D801ED"/>
    <w:rsid w:val="00D936BC"/>
    <w:rsid w:val="00D96530"/>
    <w:rsid w:val="00DD44AF"/>
    <w:rsid w:val="00DE2AC3"/>
    <w:rsid w:val="00DE5692"/>
    <w:rsid w:val="00DF23FC"/>
    <w:rsid w:val="00DF4BC6"/>
    <w:rsid w:val="00E03C94"/>
    <w:rsid w:val="00E205BC"/>
    <w:rsid w:val="00E26226"/>
    <w:rsid w:val="00E45D05"/>
    <w:rsid w:val="00E55816"/>
    <w:rsid w:val="00E55AEF"/>
    <w:rsid w:val="00E97032"/>
    <w:rsid w:val="00E976C1"/>
    <w:rsid w:val="00EA12E5"/>
    <w:rsid w:val="00EB55C6"/>
    <w:rsid w:val="00EB6C2C"/>
    <w:rsid w:val="00EF1932"/>
    <w:rsid w:val="00F02766"/>
    <w:rsid w:val="00F05BD4"/>
    <w:rsid w:val="00F21015"/>
    <w:rsid w:val="00F330A8"/>
    <w:rsid w:val="00F6155B"/>
    <w:rsid w:val="00F65C19"/>
    <w:rsid w:val="00F7284A"/>
    <w:rsid w:val="00F93AAD"/>
    <w:rsid w:val="00FA4403"/>
    <w:rsid w:val="00FB37A0"/>
    <w:rsid w:val="00FC63E5"/>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basedOn w:val="Normal"/>
    <w:next w:val="Normal"/>
    <w:link w:val="Heading1Char"/>
    <w:uiPriority w:val="99"/>
    <w:qFormat/>
    <w:rsid w:val="004863F2"/>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4863F2"/>
    <w:pPr>
      <w:spacing w:before="200"/>
      <w:outlineLvl w:val="1"/>
    </w:pPr>
    <w:rPr>
      <w:sz w:val="24"/>
    </w:rPr>
  </w:style>
  <w:style w:type="paragraph" w:styleId="Heading3">
    <w:name w:val="heading 3"/>
    <w:basedOn w:val="Heading1"/>
    <w:next w:val="Normal"/>
    <w:link w:val="Heading3Char"/>
    <w:uiPriority w:val="99"/>
    <w:qFormat/>
    <w:rsid w:val="004863F2"/>
    <w:pPr>
      <w:tabs>
        <w:tab w:val="clear" w:pos="1134"/>
      </w:tabs>
      <w:spacing w:before="200"/>
      <w:outlineLvl w:val="2"/>
    </w:pPr>
    <w:rPr>
      <w:sz w:val="24"/>
    </w:rPr>
  </w:style>
  <w:style w:type="paragraph" w:styleId="Heading4">
    <w:name w:val="heading 4"/>
    <w:basedOn w:val="Heading3"/>
    <w:next w:val="Normal"/>
    <w:link w:val="Heading4Char"/>
    <w:uiPriority w:val="99"/>
    <w:qFormat/>
    <w:rsid w:val="004863F2"/>
    <w:pPr>
      <w:outlineLvl w:val="3"/>
    </w:pPr>
  </w:style>
  <w:style w:type="paragraph" w:styleId="Heading5">
    <w:name w:val="heading 5"/>
    <w:basedOn w:val="Heading4"/>
    <w:next w:val="Normal"/>
    <w:link w:val="Heading5Char"/>
    <w:uiPriority w:val="99"/>
    <w:qFormat/>
    <w:rsid w:val="004863F2"/>
    <w:pPr>
      <w:outlineLvl w:val="4"/>
    </w:pPr>
  </w:style>
  <w:style w:type="paragraph" w:styleId="Heading6">
    <w:name w:val="heading 6"/>
    <w:basedOn w:val="Heading4"/>
    <w:next w:val="Normal"/>
    <w:link w:val="Heading6Char"/>
    <w:uiPriority w:val="99"/>
    <w:qFormat/>
    <w:rsid w:val="004863F2"/>
    <w:pPr>
      <w:outlineLvl w:val="5"/>
    </w:pPr>
  </w:style>
  <w:style w:type="paragraph" w:styleId="Heading7">
    <w:name w:val="heading 7"/>
    <w:basedOn w:val="Heading6"/>
    <w:next w:val="Normal"/>
    <w:link w:val="Heading7Char"/>
    <w:uiPriority w:val="99"/>
    <w:qFormat/>
    <w:rsid w:val="004863F2"/>
    <w:pPr>
      <w:outlineLvl w:val="6"/>
    </w:pPr>
  </w:style>
  <w:style w:type="paragraph" w:styleId="Heading8">
    <w:name w:val="heading 8"/>
    <w:basedOn w:val="Heading6"/>
    <w:next w:val="Normal"/>
    <w:link w:val="Heading8Char"/>
    <w:uiPriority w:val="99"/>
    <w:qFormat/>
    <w:rsid w:val="004863F2"/>
    <w:pPr>
      <w:outlineLvl w:val="7"/>
    </w:pPr>
  </w:style>
  <w:style w:type="paragraph" w:styleId="Heading9">
    <w:name w:val="heading 9"/>
    <w:basedOn w:val="Heading6"/>
    <w:next w:val="Normal"/>
    <w:link w:val="Heading9Char"/>
    <w:uiPriority w:val="99"/>
    <w:qFormat/>
    <w:rsid w:val="004863F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B4102"/>
    <w:rPr>
      <w:rFonts w:ascii="Cambria" w:hAnsi="Cambria" w:cs="Times New Roman"/>
      <w:b/>
      <w:bCs/>
      <w:kern w:val="32"/>
      <w:sz w:val="32"/>
      <w:szCs w:val="32"/>
      <w:lang w:val="en-GB"/>
    </w:rPr>
  </w:style>
  <w:style w:type="character" w:customStyle="1" w:styleId="Heading2Char">
    <w:name w:val="Heading 2 Char"/>
    <w:link w:val="Heading2"/>
    <w:uiPriority w:val="99"/>
    <w:semiHidden/>
    <w:locked/>
    <w:rsid w:val="00AB4102"/>
    <w:rPr>
      <w:rFonts w:ascii="Cambria" w:hAnsi="Cambria" w:cs="Times New Roman"/>
      <w:b/>
      <w:bCs/>
      <w:i/>
      <w:iCs/>
      <w:sz w:val="28"/>
      <w:szCs w:val="28"/>
      <w:lang w:val="en-GB"/>
    </w:rPr>
  </w:style>
  <w:style w:type="character" w:customStyle="1" w:styleId="Heading3Char">
    <w:name w:val="Heading 3 Char"/>
    <w:link w:val="Heading3"/>
    <w:uiPriority w:val="99"/>
    <w:semiHidden/>
    <w:locked/>
    <w:rsid w:val="00AB4102"/>
    <w:rPr>
      <w:rFonts w:ascii="Cambria" w:hAnsi="Cambria" w:cs="Times New Roman"/>
      <w:b/>
      <w:bCs/>
      <w:sz w:val="26"/>
      <w:szCs w:val="26"/>
      <w:lang w:val="en-GB"/>
    </w:rPr>
  </w:style>
  <w:style w:type="character" w:customStyle="1" w:styleId="Heading4Char">
    <w:name w:val="Heading 4 Char"/>
    <w:link w:val="Heading4"/>
    <w:uiPriority w:val="99"/>
    <w:semiHidden/>
    <w:locked/>
    <w:rsid w:val="00AB4102"/>
    <w:rPr>
      <w:rFonts w:ascii="Calibri" w:hAnsi="Calibri" w:cs="Times New Roman"/>
      <w:b/>
      <w:bCs/>
      <w:sz w:val="28"/>
      <w:szCs w:val="28"/>
      <w:lang w:val="en-GB"/>
    </w:rPr>
  </w:style>
  <w:style w:type="character" w:customStyle="1" w:styleId="Heading5Char">
    <w:name w:val="Heading 5 Char"/>
    <w:link w:val="Heading5"/>
    <w:uiPriority w:val="99"/>
    <w:semiHidden/>
    <w:locked/>
    <w:rsid w:val="00AB4102"/>
    <w:rPr>
      <w:rFonts w:ascii="Calibri" w:hAnsi="Calibri" w:cs="Times New Roman"/>
      <w:b/>
      <w:bCs/>
      <w:i/>
      <w:iCs/>
      <w:sz w:val="26"/>
      <w:szCs w:val="26"/>
      <w:lang w:val="en-GB"/>
    </w:rPr>
  </w:style>
  <w:style w:type="character" w:customStyle="1" w:styleId="Heading6Char">
    <w:name w:val="Heading 6 Char"/>
    <w:link w:val="Heading6"/>
    <w:uiPriority w:val="99"/>
    <w:semiHidden/>
    <w:locked/>
    <w:rsid w:val="00AB4102"/>
    <w:rPr>
      <w:rFonts w:ascii="Calibri" w:hAnsi="Calibri" w:cs="Times New Roman"/>
      <w:b/>
      <w:bCs/>
      <w:lang w:val="en-GB"/>
    </w:rPr>
  </w:style>
  <w:style w:type="character" w:customStyle="1" w:styleId="Heading7Char">
    <w:name w:val="Heading 7 Char"/>
    <w:link w:val="Heading7"/>
    <w:uiPriority w:val="99"/>
    <w:semiHidden/>
    <w:locked/>
    <w:rsid w:val="00AB4102"/>
    <w:rPr>
      <w:rFonts w:ascii="Calibri" w:hAnsi="Calibri" w:cs="Times New Roman"/>
      <w:sz w:val="24"/>
      <w:szCs w:val="24"/>
      <w:lang w:val="en-GB"/>
    </w:rPr>
  </w:style>
  <w:style w:type="character" w:customStyle="1" w:styleId="Heading8Char">
    <w:name w:val="Heading 8 Char"/>
    <w:link w:val="Heading8"/>
    <w:uiPriority w:val="99"/>
    <w:semiHidden/>
    <w:locked/>
    <w:rsid w:val="00AB4102"/>
    <w:rPr>
      <w:rFonts w:ascii="Calibri" w:hAnsi="Calibri" w:cs="Times New Roman"/>
      <w:i/>
      <w:iCs/>
      <w:sz w:val="24"/>
      <w:szCs w:val="24"/>
      <w:lang w:val="en-GB"/>
    </w:rPr>
  </w:style>
  <w:style w:type="character" w:customStyle="1" w:styleId="Heading9Char">
    <w:name w:val="Heading 9 Char"/>
    <w:link w:val="Heading9"/>
    <w:uiPriority w:val="99"/>
    <w:semiHidden/>
    <w:locked/>
    <w:rsid w:val="00AB4102"/>
    <w:rPr>
      <w:rFonts w:ascii="Cambria" w:hAnsi="Cambria" w:cs="Times New Roman"/>
      <w:lang w:val="en-GB"/>
    </w:rPr>
  </w:style>
  <w:style w:type="paragraph" w:customStyle="1" w:styleId="Agendaitem">
    <w:name w:val="Agenda_item"/>
    <w:basedOn w:val="Normal"/>
    <w:next w:val="Normal"/>
    <w:uiPriority w:val="99"/>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character" w:customStyle="1" w:styleId="Appdef">
    <w:name w:val="App_def"/>
    <w:uiPriority w:val="99"/>
    <w:rsid w:val="00745AEE"/>
    <w:rPr>
      <w:rFonts w:ascii="Times New Roman" w:hAnsi="Times New Roman" w:cs="Times New Roman"/>
      <w:b/>
    </w:rPr>
  </w:style>
  <w:style w:type="character" w:customStyle="1" w:styleId="Appref">
    <w:name w:val="App_ref"/>
    <w:uiPriority w:val="99"/>
    <w:rsid w:val="00745AEE"/>
    <w:rPr>
      <w:rFonts w:cs="Times New Roman"/>
    </w:rPr>
  </w:style>
  <w:style w:type="paragraph" w:customStyle="1" w:styleId="AppendixNo">
    <w:name w:val="Appendix_No"/>
    <w:basedOn w:val="AnnexNo"/>
    <w:next w:val="Annexref"/>
    <w:uiPriority w:val="99"/>
    <w:rsid w:val="00745AEE"/>
  </w:style>
  <w:style w:type="paragraph" w:customStyle="1" w:styleId="ApptoAnnex">
    <w:name w:val="App_to_Annex"/>
    <w:basedOn w:val="AppendixNo"/>
    <w:next w:val="Normal"/>
    <w:uiPriority w:val="99"/>
    <w:rsid w:val="00745AEE"/>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character" w:customStyle="1" w:styleId="Artdef">
    <w:name w:val="Art_def"/>
    <w:uiPriority w:val="99"/>
    <w:rsid w:val="00745AEE"/>
    <w:rPr>
      <w:rFonts w:ascii="Times New Roman" w:hAnsi="Times New Roman" w:cs="Times New Roman"/>
      <w:b/>
    </w:rPr>
  </w:style>
  <w:style w:type="paragraph" w:customStyle="1" w:styleId="Artheading">
    <w:name w:val="Art_heading"/>
    <w:basedOn w:val="Normal"/>
    <w:next w:val="Normal"/>
    <w:uiPriority w:val="99"/>
    <w:rsid w:val="00745AEE"/>
    <w:pPr>
      <w:spacing w:before="480"/>
      <w:jc w:val="center"/>
    </w:pPr>
    <w:rPr>
      <w:rFonts w:ascii="Times New Roman Bold" w:hAnsi="Times New Roman Bold"/>
      <w:b/>
      <w:sz w:val="28"/>
    </w:rPr>
  </w:style>
  <w:style w:type="paragraph" w:customStyle="1" w:styleId="ArtNo">
    <w:name w:val="Art_No"/>
    <w:basedOn w:val="Normal"/>
    <w:next w:val="Normal"/>
    <w:uiPriority w:val="99"/>
    <w:rsid w:val="00745AEE"/>
    <w:pPr>
      <w:keepNext/>
      <w:keepLines/>
      <w:spacing w:before="480"/>
      <w:jc w:val="center"/>
    </w:pPr>
    <w:rPr>
      <w:caps/>
      <w:sz w:val="28"/>
    </w:rPr>
  </w:style>
  <w:style w:type="character" w:customStyle="1" w:styleId="Artref">
    <w:name w:val="Art_ref"/>
    <w:uiPriority w:val="99"/>
    <w:rsid w:val="00745AEE"/>
    <w:rPr>
      <w:rFonts w:cs="Times New Roman"/>
    </w:rPr>
  </w:style>
  <w:style w:type="paragraph" w:customStyle="1" w:styleId="Arttitle">
    <w:name w:val="Art_title"/>
    <w:basedOn w:val="Normal"/>
    <w:next w:val="Normal"/>
    <w:uiPriority w:val="99"/>
    <w:rsid w:val="00745AEE"/>
    <w:pPr>
      <w:keepNext/>
      <w:keepLines/>
      <w:spacing w:before="240"/>
      <w:jc w:val="center"/>
    </w:pPr>
    <w:rPr>
      <w:b/>
      <w:sz w:val="28"/>
    </w:rPr>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ArtNo"/>
    <w:next w:val="Normal"/>
    <w:uiPriority w:val="99"/>
    <w:rsid w:val="00745AEE"/>
    <w:rPr>
      <w:rFonts w:ascii="Times New Roman Bold" w:hAnsi="Times New Roman Bold"/>
      <w:b/>
    </w:rPr>
  </w:style>
  <w:style w:type="paragraph" w:customStyle="1" w:styleId="Chaptitle">
    <w:name w:val="Chap_title"/>
    <w:basedOn w:val="Arttitle"/>
    <w:next w:val="Normal"/>
    <w:uiPriority w:val="99"/>
    <w:rsid w:val="00745AEE"/>
  </w:style>
  <w:style w:type="character" w:styleId="EndnoteReference">
    <w:name w:val="endnote reference"/>
    <w:uiPriority w:val="99"/>
    <w:rsid w:val="00745AEE"/>
    <w:rPr>
      <w:rFonts w:cs="Times New Roman"/>
      <w:vertAlign w:val="superscript"/>
    </w:rPr>
  </w:style>
  <w:style w:type="paragraph" w:customStyle="1" w:styleId="enumlev1">
    <w:name w:val="enumlev1"/>
    <w:basedOn w:val="Normal"/>
    <w:uiPriority w:val="99"/>
    <w:rsid w:val="00745AEE"/>
    <w:pPr>
      <w:tabs>
        <w:tab w:val="clear" w:pos="2268"/>
        <w:tab w:val="left" w:pos="2608"/>
        <w:tab w:val="left" w:pos="3345"/>
      </w:tabs>
      <w:spacing w:before="80"/>
      <w:ind w:left="1134" w:hanging="1134"/>
    </w:pPr>
  </w:style>
  <w:style w:type="paragraph" w:customStyle="1" w:styleId="enumlev2">
    <w:name w:val="enumlev2"/>
    <w:basedOn w:val="enumlev1"/>
    <w:uiPriority w:val="99"/>
    <w:rsid w:val="00745AEE"/>
    <w:pPr>
      <w:ind w:left="1871" w:hanging="737"/>
    </w:pPr>
  </w:style>
  <w:style w:type="paragraph" w:customStyle="1" w:styleId="enumlev3">
    <w:name w:val="enumlev3"/>
    <w:basedOn w:val="enumlev2"/>
    <w:uiPriority w:val="99"/>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190B55"/>
    <w:pPr>
      <w:ind w:left="1134"/>
    </w:pPr>
  </w:style>
  <w:style w:type="paragraph" w:customStyle="1" w:styleId="Figure">
    <w:name w:val="Figure"/>
    <w:basedOn w:val="Normal"/>
    <w:next w:val="Normal"/>
    <w:uiPriority w:val="99"/>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745AEE"/>
    <w:pPr>
      <w:keepNext/>
      <w:keepLines/>
      <w:spacing w:before="480" w:after="120"/>
      <w:jc w:val="center"/>
    </w:pPr>
    <w:rPr>
      <w:caps/>
      <w:sz w:val="20"/>
    </w:rPr>
  </w:style>
  <w:style w:type="paragraph" w:customStyle="1" w:styleId="Figuretitle">
    <w:name w:val="Figure_title"/>
    <w:basedOn w:val="Normal"/>
    <w:next w:val="Normal"/>
    <w:uiPriority w:val="99"/>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uiPriority w:val="99"/>
    <w:rsid w:val="00745AEE"/>
    <w:pPr>
      <w:keepNext w:val="0"/>
    </w:p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link w:val="Footer"/>
    <w:uiPriority w:val="99"/>
    <w:locked/>
    <w:rsid w:val="00745AEE"/>
    <w:rPr>
      <w:rFonts w:ascii="Times New Roman" w:hAnsi="Times New Roman" w:cs="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745AEE"/>
    <w:rPr>
      <w:rFonts w:cs="Times New Roman"/>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link w:val="FootnoteText"/>
    <w:uiPriority w:val="99"/>
    <w:locked/>
    <w:rsid w:val="00745AEE"/>
    <w:rPr>
      <w:rFonts w:ascii="Times New Roman" w:hAnsi="Times New Roman" w:cs="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link w:val="Header"/>
    <w:uiPriority w:val="99"/>
    <w:locked/>
    <w:rsid w:val="00745AEE"/>
    <w:rPr>
      <w:rFonts w:ascii="Times New Roman" w:hAnsi="Times New Roman" w:cs="Times New Roman"/>
      <w:sz w:val="18"/>
      <w:lang w:val="en-GB" w:eastAsia="en-US"/>
    </w:rPr>
  </w:style>
  <w:style w:type="paragraph" w:customStyle="1" w:styleId="Normalaftertitle">
    <w:name w:val="Normal after title"/>
    <w:basedOn w:val="Normal"/>
    <w:next w:val="Normal"/>
    <w:link w:val="NormalaftertitleChar"/>
    <w:uiPriority w:val="99"/>
    <w:rsid w:val="00190B55"/>
    <w:pPr>
      <w:spacing w:before="280"/>
    </w:p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aftertitle"/>
    <w:uiPriority w:val="99"/>
    <w:rsid w:val="00190B55"/>
  </w:style>
  <w:style w:type="paragraph" w:customStyle="1" w:styleId="Source">
    <w:name w:val="Source"/>
    <w:basedOn w:val="Normal"/>
    <w:next w:val="Normal"/>
    <w:uiPriority w:val="99"/>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uiPriority w:val="99"/>
    <w:rsid w:val="00190B55"/>
  </w:style>
  <w:style w:type="character" w:customStyle="1" w:styleId="Tablefreq">
    <w:name w:val="Table_freq"/>
    <w:uiPriority w:val="99"/>
    <w:rsid w:val="00190B55"/>
    <w:rPr>
      <w:rFonts w:cs="Times New Roman"/>
      <w:b/>
      <w:color w:val="auto"/>
      <w:sz w:val="20"/>
    </w:rPr>
  </w:style>
  <w:style w:type="paragraph" w:customStyle="1" w:styleId="Tablehead">
    <w:name w:val="Table_head"/>
    <w:basedOn w:val="Normal"/>
    <w:uiPriority w:val="99"/>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C214ED"/>
    <w:rPr>
      <w:sz w:val="20"/>
    </w:rPr>
  </w:style>
  <w:style w:type="paragraph" w:customStyle="1" w:styleId="TableNo">
    <w:name w:val="Table_No"/>
    <w:basedOn w:val="Normal"/>
    <w:next w:val="Normal"/>
    <w:uiPriority w:val="99"/>
    <w:rsid w:val="001D058F"/>
    <w:pPr>
      <w:keepNext/>
      <w:spacing w:before="560" w:after="120"/>
      <w:jc w:val="center"/>
    </w:pPr>
    <w:rPr>
      <w:caps/>
      <w:sz w:val="20"/>
    </w:rPr>
  </w:style>
  <w:style w:type="paragraph" w:customStyle="1" w:styleId="Tableref">
    <w:name w:val="Table_ref"/>
    <w:basedOn w:val="Normal"/>
    <w:next w:val="Normal"/>
    <w:uiPriority w:val="99"/>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241FA2"/>
    <w:pPr>
      <w:keepNext/>
      <w:spacing w:before="240"/>
    </w:pPr>
    <w:rPr>
      <w:rFonts w:hAnsi="Times New Roman Bold"/>
      <w:b/>
    </w:rPr>
  </w:style>
  <w:style w:type="paragraph" w:customStyle="1" w:styleId="Reasons">
    <w:name w:val="Reasons"/>
    <w:basedOn w:val="Normal"/>
    <w:link w:val="ReasonsChar"/>
    <w:uiPriority w:val="99"/>
    <w:rsid w:val="00DE5692"/>
    <w:pPr>
      <w:tabs>
        <w:tab w:val="clear" w:pos="1871"/>
        <w:tab w:val="clear" w:pos="2268"/>
        <w:tab w:val="left" w:pos="1588"/>
        <w:tab w:val="left" w:pos="1985"/>
      </w:tabs>
    </w:pPr>
  </w:style>
  <w:style w:type="paragraph" w:customStyle="1" w:styleId="Questiondate">
    <w:name w:val="Question_date"/>
    <w:basedOn w:val="Normal"/>
    <w:next w:val="Normalaftertitle"/>
    <w:uiPriority w:val="99"/>
    <w:rsid w:val="004969AD"/>
    <w:pPr>
      <w:keepNext/>
      <w:keepLines/>
      <w:jc w:val="right"/>
    </w:pPr>
    <w:rPr>
      <w:sz w:val="22"/>
    </w:rPr>
  </w:style>
  <w:style w:type="paragraph" w:customStyle="1" w:styleId="QuestionNo">
    <w:name w:val="Question_No"/>
    <w:basedOn w:val="Normal"/>
    <w:next w:val="Normal"/>
    <w:uiPriority w:val="99"/>
    <w:rsid w:val="004969AD"/>
    <w:pPr>
      <w:keepNext/>
      <w:keepLines/>
      <w:spacing w:before="480"/>
      <w:jc w:val="center"/>
    </w:pPr>
    <w:rPr>
      <w:caps/>
      <w:sz w:val="28"/>
    </w:rPr>
  </w:style>
  <w:style w:type="paragraph" w:customStyle="1" w:styleId="Questiontitle">
    <w:name w:val="Question_title"/>
    <w:basedOn w:val="Normal"/>
    <w:next w:val="Normal"/>
    <w:uiPriority w:val="99"/>
    <w:rsid w:val="00A54C25"/>
    <w:pPr>
      <w:keepNext/>
      <w:keepLines/>
      <w:spacing w:before="240"/>
      <w:jc w:val="center"/>
    </w:pPr>
    <w:rPr>
      <w:rFonts w:ascii="Times New Roman Bold" w:hAnsi="Times New Roman Bold"/>
      <w:b/>
      <w:sz w:val="28"/>
    </w:rPr>
  </w:style>
  <w:style w:type="paragraph" w:styleId="TOC1">
    <w:name w:val="toc 1"/>
    <w:basedOn w:val="Normal"/>
    <w:uiPriority w:val="99"/>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1D058F"/>
    <w:pPr>
      <w:spacing w:before="120"/>
    </w:pPr>
  </w:style>
  <w:style w:type="paragraph" w:styleId="TOC3">
    <w:name w:val="toc 3"/>
    <w:basedOn w:val="TOC2"/>
    <w:uiPriority w:val="99"/>
    <w:rsid w:val="001D058F"/>
  </w:style>
  <w:style w:type="paragraph" w:styleId="TOC4">
    <w:name w:val="toc 4"/>
    <w:basedOn w:val="TOC3"/>
    <w:uiPriority w:val="99"/>
    <w:rsid w:val="001D058F"/>
  </w:style>
  <w:style w:type="paragraph" w:styleId="TOC5">
    <w:name w:val="toc 5"/>
    <w:basedOn w:val="TOC4"/>
    <w:uiPriority w:val="99"/>
    <w:rsid w:val="001D058F"/>
  </w:style>
  <w:style w:type="paragraph" w:styleId="TOC6">
    <w:name w:val="toc 6"/>
    <w:basedOn w:val="TOC4"/>
    <w:uiPriority w:val="99"/>
    <w:rsid w:val="001D058F"/>
  </w:style>
  <w:style w:type="paragraph" w:styleId="TOC7">
    <w:name w:val="toc 7"/>
    <w:basedOn w:val="TOC4"/>
    <w:uiPriority w:val="99"/>
    <w:rsid w:val="001D058F"/>
  </w:style>
  <w:style w:type="paragraph" w:styleId="TOC8">
    <w:name w:val="toc 8"/>
    <w:basedOn w:val="TOC4"/>
    <w:uiPriority w:val="99"/>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uiPriority w:val="99"/>
    <w:rsid w:val="001D058F"/>
    <w:rPr>
      <w:b/>
    </w:rPr>
  </w:style>
  <w:style w:type="paragraph" w:customStyle="1" w:styleId="Tabletext">
    <w:name w:val="Table_text"/>
    <w:basedOn w:val="Normal"/>
    <w:uiPriority w:val="99"/>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uiPriority w:val="99"/>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uiPriority w:val="99"/>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uiPriority w:val="99"/>
    <w:rsid w:val="00EA12E5"/>
    <w:pPr>
      <w:spacing w:before="160"/>
    </w:pPr>
    <w:rPr>
      <w:i/>
    </w:rPr>
  </w:style>
  <w:style w:type="paragraph" w:customStyle="1" w:styleId="Headingb">
    <w:name w:val="Heading_b"/>
    <w:basedOn w:val="Normal"/>
    <w:next w:val="Normal"/>
    <w:uiPriority w:val="99"/>
    <w:rsid w:val="00EA12E5"/>
    <w:pPr>
      <w:spacing w:before="160"/>
    </w:pPr>
    <w:rPr>
      <w:rFonts w:ascii="Times New Roman Bold" w:hAnsi="Times New Roman Bold" w:cs="Times New Roman Bold"/>
      <w:b/>
      <w:lang w:val="fr-CH"/>
    </w:rPr>
  </w:style>
  <w:style w:type="paragraph" w:customStyle="1" w:styleId="Note">
    <w:name w:val="Note"/>
    <w:basedOn w:val="Normal"/>
    <w:next w:val="Normal"/>
    <w:uiPriority w:val="99"/>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E2AC3"/>
  </w:style>
  <w:style w:type="paragraph" w:customStyle="1" w:styleId="Parttitle">
    <w:name w:val="Part_title"/>
    <w:basedOn w:val="Annextitle"/>
    <w:next w:val="Normalaftertitle"/>
    <w:uiPriority w:val="99"/>
    <w:rsid w:val="00DE2AC3"/>
  </w:style>
  <w:style w:type="paragraph" w:customStyle="1" w:styleId="Recdate">
    <w:name w:val="Rec_date"/>
    <w:basedOn w:val="Normal"/>
    <w:next w:val="Normalaftertitle"/>
    <w:uiPriority w:val="99"/>
    <w:rsid w:val="00DE2AC3"/>
    <w:pPr>
      <w:keepNext/>
      <w:keepLines/>
      <w:jc w:val="right"/>
    </w:pPr>
    <w:rPr>
      <w:sz w:val="22"/>
    </w:rPr>
  </w:style>
  <w:style w:type="paragraph" w:customStyle="1" w:styleId="RecNo">
    <w:name w:val="Rec_No"/>
    <w:basedOn w:val="Normal"/>
    <w:next w:val="Normal"/>
    <w:uiPriority w:val="99"/>
    <w:rsid w:val="00DE2AC3"/>
    <w:pPr>
      <w:keepNext/>
      <w:keepLines/>
      <w:spacing w:before="480"/>
      <w:jc w:val="center"/>
    </w:pPr>
    <w:rPr>
      <w:caps/>
      <w:sz w:val="28"/>
    </w:rPr>
  </w:style>
  <w:style w:type="paragraph" w:customStyle="1" w:styleId="Rectitle">
    <w:name w:val="Rec_title"/>
    <w:basedOn w:val="RecNo"/>
    <w:next w:val="Normal"/>
    <w:uiPriority w:val="99"/>
    <w:rsid w:val="00DE2AC3"/>
    <w:pPr>
      <w:spacing w:before="240"/>
    </w:pPr>
    <w:rPr>
      <w:rFonts w:ascii="Times New Roman Bold" w:hAnsi="Times New Roman Bold"/>
      <w:b/>
      <w:caps w:val="0"/>
    </w:rPr>
  </w:style>
  <w:style w:type="paragraph" w:customStyle="1" w:styleId="ResNo">
    <w:name w:val="Res_No"/>
    <w:basedOn w:val="RecNo"/>
    <w:next w:val="Normal"/>
    <w:uiPriority w:val="99"/>
    <w:rsid w:val="00DE2AC3"/>
  </w:style>
  <w:style w:type="paragraph" w:customStyle="1" w:styleId="Restitle">
    <w:name w:val="Res_title"/>
    <w:basedOn w:val="Rectitle"/>
    <w:next w:val="Normal"/>
    <w:uiPriority w:val="99"/>
    <w:rsid w:val="00DE2AC3"/>
  </w:style>
  <w:style w:type="paragraph" w:customStyle="1" w:styleId="AppArtNo">
    <w:name w:val="App_Art_No"/>
    <w:basedOn w:val="ArtNo"/>
    <w:uiPriority w:val="99"/>
    <w:rsid w:val="006E3D45"/>
  </w:style>
  <w:style w:type="paragraph" w:customStyle="1" w:styleId="AppArttitle">
    <w:name w:val="App_Art_title"/>
    <w:basedOn w:val="Arttitle"/>
    <w:uiPriority w:val="99"/>
    <w:rsid w:val="00A066F1"/>
  </w:style>
  <w:style w:type="paragraph" w:customStyle="1" w:styleId="Committee">
    <w:name w:val="Committee"/>
    <w:basedOn w:val="Normal"/>
    <w:uiPriority w:val="99"/>
    <w:rsid w:val="00DF4BC6"/>
    <w:pPr>
      <w:framePr w:hSpace="180" w:wrap="around" w:hAnchor="margin" w:y="-675"/>
      <w:tabs>
        <w:tab w:val="left" w:pos="851"/>
      </w:tabs>
      <w:spacing w:before="0" w:line="240" w:lineRule="atLeast"/>
    </w:pPr>
    <w:rPr>
      <w:rFonts w:cs="Calibri"/>
      <w:b/>
      <w:szCs w:val="24"/>
    </w:rPr>
  </w:style>
  <w:style w:type="paragraph" w:customStyle="1" w:styleId="Volumetitle">
    <w:name w:val="Volume_title"/>
    <w:basedOn w:val="Normal"/>
    <w:uiPriority w:val="99"/>
    <w:rsid w:val="003E0DB6"/>
    <w:pPr>
      <w:jc w:val="center"/>
    </w:pPr>
    <w:rPr>
      <w:b/>
      <w:bCs/>
      <w:sz w:val="28"/>
      <w:szCs w:val="28"/>
    </w:rPr>
  </w:style>
  <w:style w:type="character" w:customStyle="1" w:styleId="href">
    <w:name w:val="href"/>
    <w:uiPriority w:val="99"/>
    <w:rsid w:val="00672823"/>
    <w:rPr>
      <w:rFonts w:cs="Times New Roman"/>
      <w:color w:val="auto"/>
    </w:rPr>
  </w:style>
  <w:style w:type="paragraph" w:styleId="BalloonText">
    <w:name w:val="Balloon Text"/>
    <w:basedOn w:val="Normal"/>
    <w:link w:val="BalloonTextChar"/>
    <w:uiPriority w:val="99"/>
    <w:semiHidden/>
    <w:rsid w:val="004E06AA"/>
    <w:pPr>
      <w:spacing w:before="0"/>
    </w:pPr>
    <w:rPr>
      <w:rFonts w:ascii="Tahoma" w:hAnsi="Tahoma" w:cs="Tahoma"/>
      <w:sz w:val="16"/>
      <w:szCs w:val="16"/>
    </w:rPr>
  </w:style>
  <w:style w:type="character" w:customStyle="1" w:styleId="BalloonTextChar">
    <w:name w:val="Balloon Text Char"/>
    <w:link w:val="BalloonText"/>
    <w:uiPriority w:val="99"/>
    <w:semiHidden/>
    <w:locked/>
    <w:rsid w:val="004E06AA"/>
    <w:rPr>
      <w:rFonts w:ascii="Tahoma" w:hAnsi="Tahoma" w:cs="Tahoma"/>
      <w:sz w:val="16"/>
      <w:szCs w:val="16"/>
      <w:lang w:val="en-GB" w:eastAsia="en-US"/>
    </w:rPr>
  </w:style>
  <w:style w:type="character" w:customStyle="1" w:styleId="ReasonsChar">
    <w:name w:val="Reasons Char"/>
    <w:link w:val="Reasons"/>
    <w:uiPriority w:val="99"/>
    <w:locked/>
    <w:rsid w:val="00345C3C"/>
    <w:rPr>
      <w:rFonts w:ascii="Times New Roman" w:hAnsi="Times New Roman"/>
      <w:sz w:val="24"/>
      <w:lang w:val="en-GB" w:eastAsia="en-US"/>
    </w:rPr>
  </w:style>
  <w:style w:type="character" w:customStyle="1" w:styleId="CallChar">
    <w:name w:val="Call Char"/>
    <w:link w:val="Call"/>
    <w:uiPriority w:val="99"/>
    <w:locked/>
    <w:rsid w:val="002C3389"/>
    <w:rPr>
      <w:rFonts w:ascii="Times New Roman" w:hAnsi="Times New Roman"/>
      <w:i/>
      <w:sz w:val="24"/>
      <w:lang w:val="en-GB" w:eastAsia="en-US"/>
    </w:rPr>
  </w:style>
  <w:style w:type="character" w:customStyle="1" w:styleId="NormalaftertitleChar">
    <w:name w:val="Normal after title Char"/>
    <w:link w:val="Normalaftertitle"/>
    <w:uiPriority w:val="99"/>
    <w:locked/>
    <w:rsid w:val="002C3389"/>
    <w:rPr>
      <w:rFonts w:ascii="Times New Roman" w:hAnsi="Times New Roman"/>
      <w:sz w:val="24"/>
      <w:lang w:val="en-GB" w:eastAsia="en-US"/>
    </w:rPr>
  </w:style>
  <w:style w:type="paragraph" w:styleId="BodyText">
    <w:name w:val="Body Text"/>
    <w:basedOn w:val="Normal"/>
    <w:link w:val="BodyTextChar"/>
    <w:uiPriority w:val="99"/>
    <w:rsid w:val="002C3389"/>
    <w:pPr>
      <w:tabs>
        <w:tab w:val="clear" w:pos="1134"/>
        <w:tab w:val="clear" w:pos="1871"/>
        <w:tab w:val="clear" w:pos="2268"/>
        <w:tab w:val="left" w:pos="360"/>
        <w:tab w:val="left" w:pos="900"/>
      </w:tabs>
      <w:overflowPunct/>
      <w:autoSpaceDE/>
      <w:autoSpaceDN/>
      <w:adjustRightInd/>
      <w:spacing w:before="0"/>
      <w:textAlignment w:val="auto"/>
    </w:pPr>
    <w:rPr>
      <w:i/>
      <w:iCs/>
      <w:lang w:val="en-US"/>
    </w:rPr>
  </w:style>
  <w:style w:type="character" w:customStyle="1" w:styleId="BodyTextChar">
    <w:name w:val="Body Text Char"/>
    <w:link w:val="BodyText"/>
    <w:uiPriority w:val="99"/>
    <w:locked/>
    <w:rsid w:val="002C3389"/>
    <w:rPr>
      <w:rFonts w:ascii="Times New Roman" w:hAnsi="Times New Roman" w:cs="Times New Roman"/>
      <w:i/>
      <w:iCs/>
      <w:sz w:val="24"/>
      <w:lang w:eastAsia="en-US"/>
    </w:rPr>
  </w:style>
  <w:style w:type="paragraph" w:styleId="Revision">
    <w:name w:val="Revision"/>
    <w:hidden/>
    <w:uiPriority w:val="99"/>
    <w:semiHidden/>
    <w:rsid w:val="002C3389"/>
    <w:rPr>
      <w:rFonts w:ascii="Times New Roman" w:hAnsi="Times New Roman"/>
      <w:sz w:val="24"/>
      <w:lang w:val="en-GB"/>
    </w:rPr>
  </w:style>
  <w:style w:type="paragraph" w:styleId="Index1">
    <w:name w:val="index 1"/>
    <w:basedOn w:val="Normal"/>
    <w:next w:val="Normal"/>
    <w:uiPriority w:val="99"/>
    <w:rsid w:val="0017066E"/>
    <w:pPr>
      <w:tabs>
        <w:tab w:val="clear" w:pos="1134"/>
        <w:tab w:val="clear" w:pos="1871"/>
        <w:tab w:val="clear" w:pos="2268"/>
        <w:tab w:val="left" w:pos="794"/>
        <w:tab w:val="left" w:pos="1191"/>
        <w:tab w:val="left" w:pos="1588"/>
        <w:tab w:val="left" w:pos="1985"/>
      </w:tabs>
      <w:overflowPunct/>
      <w:autoSpaceDE/>
      <w:autoSpaceDN/>
      <w:adjustRightInd/>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PE_WRC15.dotm</Template>
  <TotalTime>21</TotalTime>
  <Pages>6</Pages>
  <Words>1270</Words>
  <Characters>7244</Characters>
  <Application>Microsoft Office Word</Application>
  <DocSecurity>0</DocSecurity>
  <Lines>60</Lines>
  <Paragraphs>16</Paragraphs>
  <ScaleCrop>false</ScaleCrop>
  <Manager>General Secretariat - Pool</Manager>
  <Company>International Telecommunication Union (ITU)</Company>
  <LinksUpToDate>false</LinksUpToDate>
  <CharactersWithSpaces>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R15-WRC15-C-4843!A24!MSW-E</dc:title>
  <dc:subject>World Radiocommunication Conference - 2015</dc:subject>
  <dc:creator>Conference Proposals Interface (CPI)</dc:creator>
  <cp:keywords>CPI_5.2015.6.24</cp:keywords>
  <dc:description>Uploaded on 2015.07.06</dc:description>
  <cp:lastModifiedBy>CITEL</cp:lastModifiedBy>
  <cp:revision>19</cp:revision>
  <cp:lastPrinted>2014-02-10T09:49:00Z</cp:lastPrinted>
  <dcterms:created xsi:type="dcterms:W3CDTF">2015-08-24T16:44:00Z</dcterms:created>
  <dcterms:modified xsi:type="dcterms:W3CDTF">2015-09-06T15:16:00Z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y fmtid="{D5CDD505-2E9C-101B-9397-08002B2CF9AE}" pid="11" name="DPM File name">
    <vt:lpwstr>R15-WRC15-C-4843!A24!MSW-E</vt:lpwstr>
  </property>
  <property fmtid="{D5CDD505-2E9C-101B-9397-08002B2CF9AE}" pid="12" name="DPM Author">
    <vt:lpwstr>Conference Proposals Interface (CPI)</vt:lpwstr>
  </property>
  <property fmtid="{D5CDD505-2E9C-101B-9397-08002B2CF9AE}" pid="13" name="DPM Version">
    <vt:lpwstr>CPI_5.2015.6.24</vt:lpwstr>
  </property>
  <property fmtid="{D5CDD505-2E9C-101B-9397-08002B2CF9AE}" pid="14" name="_dlc_DocId">
    <vt:lpwstr>CJDSJNEQ73FR-44-23</vt:lpwstr>
  </property>
  <property fmtid="{D5CDD505-2E9C-101B-9397-08002B2CF9AE}" pid="15" name="_dlc_DocIdUrl">
    <vt:lpwstr>http://spdev11/en/gmpcs/_layouts/DocIdRedir.aspx?ID=CJDSJNEQ73FR-44-23, CJDSJNEQ73FR-44-23</vt:lpwstr>
  </property>
</Properties>
</file>