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542A11">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 xml:space="preserve">Document </w:t>
            </w:r>
            <w:r w:rsidR="00542A11">
              <w:rPr>
                <w:rFonts w:ascii="Verdana" w:hAnsi="Verdana"/>
                <w:b/>
                <w:sz w:val="20"/>
              </w:rPr>
              <w:t>7</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542A11" w:rsidP="00A066F1">
            <w:pPr>
              <w:tabs>
                <w:tab w:val="left" w:pos="993"/>
              </w:tabs>
              <w:spacing w:before="0"/>
              <w:rPr>
                <w:rFonts w:ascii="Verdana" w:hAnsi="Verdana"/>
                <w:sz w:val="20"/>
              </w:rPr>
            </w:pPr>
            <w:r>
              <w:rPr>
                <w:rFonts w:ascii="Verdana" w:hAnsi="Verdana"/>
                <w:b/>
                <w:sz w:val="20"/>
              </w:rPr>
              <w:t>21</w:t>
            </w:r>
            <w:r w:rsidR="00420873" w:rsidRPr="00841216">
              <w:rPr>
                <w:rFonts w:ascii="Verdana" w:hAnsi="Verdana"/>
                <w:b/>
                <w:sz w:val="20"/>
              </w:rPr>
              <w:t xml:space="preserve"> August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1.1</w:t>
            </w:r>
          </w:p>
        </w:tc>
      </w:tr>
    </w:tbl>
    <w:p w:rsidR="005118F7" w:rsidRPr="009A2B70" w:rsidRDefault="0094226B" w:rsidP="002119E8">
      <w:pPr>
        <w:overflowPunct/>
        <w:autoSpaceDE/>
        <w:autoSpaceDN/>
        <w:adjustRightInd/>
        <w:textAlignment w:val="auto"/>
      </w:pPr>
      <w:bookmarkStart w:id="8" w:name="dbreak"/>
      <w:bookmarkEnd w:id="6"/>
      <w:bookmarkEnd w:id="7"/>
      <w:bookmarkEnd w:id="8"/>
      <w:r w:rsidRPr="009A2B70">
        <w:t>1.1</w:t>
      </w:r>
      <w:r w:rsidRPr="009A2B70">
        <w:tab/>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9A2B70">
        <w:rPr>
          <w:b/>
          <w:bCs/>
        </w:rPr>
        <w:t>233 (WRC</w:t>
      </w:r>
      <w:r w:rsidRPr="009A2B70">
        <w:rPr>
          <w:b/>
          <w:bCs/>
        </w:rPr>
        <w:noBreakHyphen/>
        <w:t>12)</w:t>
      </w:r>
      <w:r w:rsidRPr="009A2B70">
        <w:t>;</w:t>
      </w:r>
    </w:p>
    <w:p w:rsidR="00241FA2" w:rsidRDefault="00241FA2" w:rsidP="00187BD9">
      <w:pPr>
        <w:tabs>
          <w:tab w:val="clear" w:pos="1134"/>
          <w:tab w:val="clear" w:pos="1871"/>
          <w:tab w:val="clear" w:pos="2268"/>
        </w:tabs>
        <w:overflowPunct/>
        <w:autoSpaceDE/>
        <w:autoSpaceDN/>
        <w:adjustRightInd/>
        <w:spacing w:before="0"/>
        <w:textAlignment w:val="auto"/>
        <w:rPr>
          <w:lang w:val="fr-CH"/>
        </w:rPr>
      </w:pPr>
    </w:p>
    <w:p w:rsidR="0094226B" w:rsidRDefault="0094226B" w:rsidP="00187BD9">
      <w:pPr>
        <w:tabs>
          <w:tab w:val="clear" w:pos="1134"/>
          <w:tab w:val="clear" w:pos="1871"/>
          <w:tab w:val="clear" w:pos="2268"/>
        </w:tabs>
        <w:overflowPunct/>
        <w:autoSpaceDE/>
        <w:autoSpaceDN/>
        <w:adjustRightInd/>
        <w:spacing w:before="0"/>
        <w:textAlignment w:val="auto"/>
        <w:rPr>
          <w:lang w:val="fr-CH"/>
        </w:rPr>
      </w:pPr>
    </w:p>
    <w:p w:rsidR="00542A11" w:rsidRDefault="00542A11">
      <w:pPr>
        <w:tabs>
          <w:tab w:val="clear" w:pos="1134"/>
          <w:tab w:val="clear" w:pos="1871"/>
          <w:tab w:val="clear" w:pos="2268"/>
        </w:tabs>
        <w:overflowPunct/>
        <w:autoSpaceDE/>
        <w:autoSpaceDN/>
        <w:adjustRightInd/>
        <w:spacing w:before="0"/>
        <w:textAlignment w:val="auto"/>
        <w:rPr>
          <w:b/>
          <w:lang w:val="fr-CH"/>
        </w:rPr>
      </w:pPr>
      <w:r>
        <w:rPr>
          <w:b/>
          <w:lang w:val="fr-CH"/>
        </w:rPr>
        <w:br w:type="page"/>
      </w:r>
    </w:p>
    <w:p w:rsidR="0094226B" w:rsidRPr="00542A11" w:rsidRDefault="00542A11" w:rsidP="00542A11">
      <w:pPr>
        <w:tabs>
          <w:tab w:val="clear" w:pos="1134"/>
          <w:tab w:val="clear" w:pos="1871"/>
          <w:tab w:val="clear" w:pos="2268"/>
        </w:tabs>
        <w:overflowPunct/>
        <w:autoSpaceDE/>
        <w:autoSpaceDN/>
        <w:adjustRightInd/>
        <w:spacing w:before="0"/>
        <w:textAlignment w:val="auto"/>
        <w:rPr>
          <w:b/>
          <w:szCs w:val="24"/>
          <w:lang w:val="fr-CH"/>
        </w:rPr>
      </w:pPr>
      <w:r>
        <w:rPr>
          <w:b/>
          <w:szCs w:val="24"/>
          <w:lang w:val="fr-CH"/>
        </w:rPr>
        <w:lastRenderedPageBreak/>
        <w:t>Background </w:t>
      </w:r>
    </w:p>
    <w:p w:rsidR="0094226B" w:rsidRPr="00542A11" w:rsidRDefault="0094226B" w:rsidP="00542A11">
      <w:pPr>
        <w:tabs>
          <w:tab w:val="clear" w:pos="1134"/>
          <w:tab w:val="clear" w:pos="1871"/>
          <w:tab w:val="clear" w:pos="2268"/>
        </w:tabs>
        <w:overflowPunct/>
        <w:autoSpaceDE/>
        <w:autoSpaceDN/>
        <w:adjustRightInd/>
        <w:spacing w:before="0"/>
        <w:textAlignment w:val="auto"/>
        <w:rPr>
          <w:szCs w:val="24"/>
          <w:lang w:val="fr-CH"/>
        </w:rPr>
      </w:pPr>
    </w:p>
    <w:p w:rsidR="0094226B" w:rsidRPr="00542A11" w:rsidRDefault="0094226B" w:rsidP="00542A11">
      <w:pPr>
        <w:rPr>
          <w:szCs w:val="24"/>
        </w:rPr>
      </w:pPr>
      <w:r w:rsidRPr="00542A11">
        <w:rPr>
          <w:szCs w:val="24"/>
        </w:rPr>
        <w:t xml:space="preserve">The 2012 World </w:t>
      </w:r>
      <w:proofErr w:type="spellStart"/>
      <w:r w:rsidRPr="00542A11">
        <w:rPr>
          <w:szCs w:val="24"/>
        </w:rPr>
        <w:t>Radiocommunication</w:t>
      </w:r>
      <w:proofErr w:type="spellEnd"/>
      <w:r w:rsidRPr="00542A11">
        <w:rPr>
          <w:szCs w:val="24"/>
        </w:rPr>
        <w:t xml:space="preserve"> Conference (WRC-12) recognized a need for additional radio spectrum to support the increasing mobile data traffic, and placed consideration of additional spectrum allocations for terrestrial mobile broadband applications on the agenda for WRC-15.</w:t>
      </w:r>
    </w:p>
    <w:p w:rsidR="0094226B" w:rsidRPr="00542A11" w:rsidRDefault="0094226B" w:rsidP="00542A11">
      <w:pPr>
        <w:rPr>
          <w:szCs w:val="24"/>
        </w:rPr>
      </w:pPr>
      <w:r w:rsidRPr="00542A11">
        <w:rPr>
          <w:szCs w:val="24"/>
        </w:rPr>
        <w:t>CPM-15/1 tasked Working Party 5D (WP5D) to provide frequency ranges to Joint Task Group 4-5-6-7 (JTG) that would be suitable for IMT operations.  WP5D included the ranges 2</w:t>
      </w:r>
      <w:r w:rsidRPr="00542A11">
        <w:rPr>
          <w:b/>
          <w:color w:val="000000"/>
          <w:szCs w:val="24"/>
        </w:rPr>
        <w:t> </w:t>
      </w:r>
      <w:r w:rsidRPr="00542A11">
        <w:rPr>
          <w:szCs w:val="24"/>
        </w:rPr>
        <w:t>025-2</w:t>
      </w:r>
      <w:r w:rsidRPr="00542A11">
        <w:rPr>
          <w:b/>
          <w:color w:val="000000"/>
          <w:szCs w:val="24"/>
        </w:rPr>
        <w:t> </w:t>
      </w:r>
      <w:r w:rsidRPr="00542A11">
        <w:rPr>
          <w:szCs w:val="24"/>
        </w:rPr>
        <w:t>110 MHz and 2</w:t>
      </w:r>
      <w:r w:rsidRPr="00542A11">
        <w:rPr>
          <w:b/>
          <w:color w:val="000000"/>
          <w:szCs w:val="24"/>
        </w:rPr>
        <w:t> </w:t>
      </w:r>
      <w:r w:rsidRPr="00542A11">
        <w:rPr>
          <w:szCs w:val="24"/>
        </w:rPr>
        <w:t>200-2</w:t>
      </w:r>
      <w:r w:rsidRPr="00542A11">
        <w:rPr>
          <w:b/>
          <w:color w:val="000000"/>
          <w:szCs w:val="24"/>
        </w:rPr>
        <w:t> </w:t>
      </w:r>
      <w:r w:rsidRPr="00542A11">
        <w:rPr>
          <w:szCs w:val="24"/>
        </w:rPr>
        <w:t>290 MHz among the many frequency ranges below 6 GHz provided to the JTG.</w:t>
      </w:r>
    </w:p>
    <w:p w:rsidR="0094226B" w:rsidRPr="00542A11" w:rsidRDefault="0094226B" w:rsidP="00542A11">
      <w:pPr>
        <w:tabs>
          <w:tab w:val="clear" w:pos="1134"/>
          <w:tab w:val="clear" w:pos="1871"/>
          <w:tab w:val="clear" w:pos="2268"/>
        </w:tabs>
        <w:overflowPunct/>
        <w:autoSpaceDE/>
        <w:autoSpaceDN/>
        <w:adjustRightInd/>
        <w:spacing w:before="0"/>
        <w:textAlignment w:val="auto"/>
        <w:rPr>
          <w:szCs w:val="24"/>
          <w:lang w:val="fr-CH"/>
        </w:rPr>
      </w:pPr>
      <w:r w:rsidRPr="00542A11">
        <w:rPr>
          <w:szCs w:val="24"/>
        </w:rPr>
        <w:t>WRC-12 resolved to invite the ITU-R to carry out sharing and compatibility studies between IMT systems and systems of services already having allocations in potential candidate bands and in adjacent bands, as appropriate, taking into account the current and planned use of these bands by the existing services.  CPM-15/1 tasked the JTG with carrying out the studies. Studies submitted to the JTG that assessed the feasibility for accommodation of IMT long-term evolution (LTE) systems in both the 2</w:t>
      </w:r>
      <w:r w:rsidRPr="00542A11">
        <w:rPr>
          <w:b/>
          <w:color w:val="000000"/>
          <w:szCs w:val="24"/>
        </w:rPr>
        <w:t> </w:t>
      </w:r>
      <w:r w:rsidRPr="00542A11">
        <w:rPr>
          <w:szCs w:val="24"/>
        </w:rPr>
        <w:t>025-2</w:t>
      </w:r>
      <w:r w:rsidRPr="00542A11">
        <w:rPr>
          <w:b/>
          <w:color w:val="000000"/>
          <w:szCs w:val="24"/>
        </w:rPr>
        <w:t> </w:t>
      </w:r>
      <w:r w:rsidRPr="00542A11">
        <w:rPr>
          <w:szCs w:val="24"/>
        </w:rPr>
        <w:t>110 MHz and 2</w:t>
      </w:r>
      <w:r w:rsidRPr="00542A11">
        <w:rPr>
          <w:b/>
          <w:color w:val="000000"/>
          <w:szCs w:val="24"/>
        </w:rPr>
        <w:t> </w:t>
      </w:r>
      <w:r w:rsidRPr="00542A11">
        <w:rPr>
          <w:szCs w:val="24"/>
        </w:rPr>
        <w:t>200-2</w:t>
      </w:r>
      <w:r w:rsidRPr="00542A11">
        <w:rPr>
          <w:b/>
          <w:color w:val="000000"/>
          <w:szCs w:val="24"/>
        </w:rPr>
        <w:t> </w:t>
      </w:r>
      <w:r w:rsidRPr="00542A11">
        <w:rPr>
          <w:szCs w:val="24"/>
        </w:rPr>
        <w:t xml:space="preserve">290 MHz frequency ranges have shown that sharing is not feasible with existing services in these frequency ranges.  These studies reaffirmed earlier ITU studies that resulted in the adoption of No. </w:t>
      </w:r>
      <w:r w:rsidRPr="00542A11">
        <w:rPr>
          <w:b/>
          <w:szCs w:val="24"/>
        </w:rPr>
        <w:t>5.391</w:t>
      </w:r>
      <w:r w:rsidRPr="00542A11">
        <w:rPr>
          <w:szCs w:val="24"/>
        </w:rPr>
        <w:t xml:space="preserve"> at WRC-97, which prohibits high-density mobile systems from operation within these frequency bands.</w:t>
      </w:r>
    </w:p>
    <w:p w:rsidR="0094226B" w:rsidRPr="00542A11" w:rsidRDefault="0094226B" w:rsidP="00542A11">
      <w:pPr>
        <w:tabs>
          <w:tab w:val="clear" w:pos="1134"/>
          <w:tab w:val="clear" w:pos="1871"/>
          <w:tab w:val="clear" w:pos="2268"/>
        </w:tabs>
        <w:overflowPunct/>
        <w:autoSpaceDE/>
        <w:autoSpaceDN/>
        <w:adjustRightInd/>
        <w:spacing w:before="0"/>
        <w:textAlignment w:val="auto"/>
        <w:rPr>
          <w:szCs w:val="24"/>
          <w:lang w:val="fr-CH"/>
        </w:rPr>
      </w:pPr>
    </w:p>
    <w:p w:rsidR="0094226B" w:rsidRPr="00542A11" w:rsidRDefault="0094226B" w:rsidP="00542A11">
      <w:pPr>
        <w:tabs>
          <w:tab w:val="clear" w:pos="1134"/>
          <w:tab w:val="clear" w:pos="1871"/>
          <w:tab w:val="clear" w:pos="2268"/>
        </w:tabs>
        <w:overflowPunct/>
        <w:autoSpaceDE/>
        <w:autoSpaceDN/>
        <w:adjustRightInd/>
        <w:spacing w:before="0"/>
        <w:textAlignment w:val="auto"/>
        <w:rPr>
          <w:szCs w:val="24"/>
          <w:lang w:val="fr-CH"/>
        </w:rPr>
      </w:pPr>
    </w:p>
    <w:p w:rsidR="0094226B" w:rsidRPr="00542A11" w:rsidRDefault="00542A11" w:rsidP="00542A11">
      <w:pPr>
        <w:tabs>
          <w:tab w:val="clear" w:pos="1134"/>
          <w:tab w:val="clear" w:pos="1871"/>
          <w:tab w:val="clear" w:pos="2268"/>
        </w:tabs>
        <w:overflowPunct/>
        <w:autoSpaceDE/>
        <w:autoSpaceDN/>
        <w:adjustRightInd/>
        <w:spacing w:before="0"/>
        <w:textAlignment w:val="auto"/>
        <w:rPr>
          <w:b/>
          <w:szCs w:val="24"/>
          <w:lang w:val="fr-CH"/>
        </w:rPr>
      </w:pPr>
      <w:proofErr w:type="spellStart"/>
      <w:r>
        <w:rPr>
          <w:b/>
          <w:szCs w:val="24"/>
          <w:lang w:val="fr-CH"/>
        </w:rPr>
        <w:t>Proposals</w:t>
      </w:r>
      <w:proofErr w:type="spellEnd"/>
    </w:p>
    <w:p w:rsidR="0094226B" w:rsidRDefault="0094226B" w:rsidP="00187BD9">
      <w:pPr>
        <w:tabs>
          <w:tab w:val="clear" w:pos="1134"/>
          <w:tab w:val="clear" w:pos="1871"/>
          <w:tab w:val="clear" w:pos="2268"/>
        </w:tabs>
        <w:overflowPunct/>
        <w:autoSpaceDE/>
        <w:autoSpaceDN/>
        <w:adjustRightInd/>
        <w:spacing w:before="0"/>
        <w:textAlignment w:val="auto"/>
        <w:rPr>
          <w:lang w:val="fr-CH"/>
        </w:rPr>
      </w:pPr>
    </w:p>
    <w:p w:rsidR="0094226B" w:rsidRDefault="0094226B" w:rsidP="00187BD9">
      <w:pPr>
        <w:tabs>
          <w:tab w:val="clear" w:pos="1134"/>
          <w:tab w:val="clear" w:pos="1871"/>
          <w:tab w:val="clear" w:pos="2268"/>
        </w:tabs>
        <w:overflowPunct/>
        <w:autoSpaceDE/>
        <w:autoSpaceDN/>
        <w:adjustRightInd/>
        <w:spacing w:before="0"/>
        <w:textAlignment w:val="auto"/>
        <w:rPr>
          <w:lang w:val="fr-CH"/>
        </w:rPr>
      </w:pPr>
    </w:p>
    <w:p w:rsidR="009B463A" w:rsidRDefault="0094226B" w:rsidP="009B463A">
      <w:pPr>
        <w:pStyle w:val="ArtNo"/>
        <w:rPr>
          <w:lang w:val="en-AU"/>
        </w:rPr>
      </w:pPr>
      <w:bookmarkStart w:id="9" w:name="_Toc327956582"/>
      <w:r w:rsidRPr="006D07BF">
        <w:t>ARTICLE</w:t>
      </w:r>
      <w:r>
        <w:rPr>
          <w:lang w:val="en-AU"/>
        </w:rPr>
        <w:t xml:space="preserve"> </w:t>
      </w:r>
      <w:r>
        <w:rPr>
          <w:rStyle w:val="href"/>
          <w:rFonts w:eastAsiaTheme="majorEastAsia"/>
          <w:color w:val="000000"/>
          <w:lang w:val="en-AU"/>
        </w:rPr>
        <w:t>5</w:t>
      </w:r>
      <w:bookmarkEnd w:id="9"/>
    </w:p>
    <w:p w:rsidR="009B463A" w:rsidRDefault="0094226B" w:rsidP="009B463A">
      <w:pPr>
        <w:pStyle w:val="Arttitle"/>
        <w:rPr>
          <w:lang w:val="en-US"/>
        </w:rPr>
      </w:pPr>
      <w:bookmarkStart w:id="10" w:name="_Toc327956583"/>
      <w:r w:rsidRPr="006D07BF">
        <w:t>Frequency</w:t>
      </w:r>
      <w:r>
        <w:t xml:space="preserve"> allocations</w:t>
      </w:r>
      <w:bookmarkEnd w:id="10"/>
    </w:p>
    <w:p w:rsidR="009B463A" w:rsidRPr="00B25B23" w:rsidRDefault="0094226B"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E22845" w:rsidRDefault="0094226B">
      <w:pPr>
        <w:pStyle w:val="Proposal"/>
      </w:pPr>
      <w:r>
        <w:rPr>
          <w:u w:val="single"/>
        </w:rPr>
        <w:t>NOC</w:t>
      </w:r>
      <w:r>
        <w:tab/>
        <w:t>IAP/</w:t>
      </w:r>
      <w:r w:rsidR="00FA2074">
        <w:t>7A1A1</w:t>
      </w:r>
      <w:r>
        <w:t>/1</w:t>
      </w:r>
      <w:r w:rsidR="00542A11">
        <w:t>0</w:t>
      </w:r>
    </w:p>
    <w:p w:rsidR="009B463A" w:rsidRPr="00542A11" w:rsidRDefault="0094226B" w:rsidP="009B463A">
      <w:pPr>
        <w:pStyle w:val="Tabletitle"/>
        <w:rPr>
          <w:sz w:val="24"/>
          <w:szCs w:val="24"/>
        </w:rPr>
      </w:pPr>
      <w:r w:rsidRPr="00542A11">
        <w:rPr>
          <w:sz w:val="24"/>
          <w:szCs w:val="24"/>
        </w:rPr>
        <w:t>1 710-2 170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542A11" w:rsidTr="00477577">
        <w:trPr>
          <w:cantSplit/>
          <w:jc w:val="center"/>
        </w:trPr>
        <w:tc>
          <w:tcPr>
            <w:tcW w:w="9303" w:type="dxa"/>
            <w:gridSpan w:val="3"/>
            <w:tcBorders>
              <w:top w:val="single" w:sz="4" w:space="0" w:color="auto"/>
              <w:left w:val="single" w:sz="6" w:space="0" w:color="auto"/>
              <w:bottom w:val="single" w:sz="4" w:space="0" w:color="auto"/>
              <w:right w:val="single" w:sz="6" w:space="0" w:color="auto"/>
            </w:tcBorders>
            <w:hideMark/>
          </w:tcPr>
          <w:p w:rsidR="009B463A" w:rsidRPr="00542A11" w:rsidRDefault="0094226B" w:rsidP="00477577">
            <w:pPr>
              <w:pStyle w:val="Tablehead"/>
              <w:rPr>
                <w:sz w:val="24"/>
                <w:szCs w:val="24"/>
              </w:rPr>
            </w:pPr>
            <w:r w:rsidRPr="00542A11">
              <w:rPr>
                <w:sz w:val="24"/>
                <w:szCs w:val="24"/>
              </w:rPr>
              <w:t>Allocation to services</w:t>
            </w:r>
          </w:p>
        </w:tc>
      </w:tr>
      <w:tr w:rsidR="009B463A" w:rsidRPr="00542A11"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542A11" w:rsidRDefault="0094226B" w:rsidP="00477577">
            <w:pPr>
              <w:pStyle w:val="Tablehead"/>
              <w:rPr>
                <w:sz w:val="24"/>
                <w:szCs w:val="24"/>
              </w:rPr>
            </w:pPr>
            <w:r w:rsidRPr="00542A11">
              <w:rPr>
                <w:sz w:val="24"/>
                <w:szCs w:val="24"/>
              </w:rPr>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542A11" w:rsidRDefault="0094226B" w:rsidP="00477577">
            <w:pPr>
              <w:pStyle w:val="Tablehead"/>
              <w:rPr>
                <w:sz w:val="24"/>
                <w:szCs w:val="24"/>
              </w:rPr>
            </w:pPr>
            <w:r w:rsidRPr="00542A11">
              <w:rPr>
                <w:sz w:val="24"/>
                <w:szCs w:val="24"/>
              </w:rPr>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542A11" w:rsidRDefault="0094226B" w:rsidP="00477577">
            <w:pPr>
              <w:pStyle w:val="Tablehead"/>
              <w:rPr>
                <w:sz w:val="24"/>
                <w:szCs w:val="24"/>
              </w:rPr>
            </w:pPr>
            <w:r w:rsidRPr="00542A11">
              <w:rPr>
                <w:sz w:val="24"/>
                <w:szCs w:val="24"/>
              </w:rPr>
              <w:t>Region 3</w:t>
            </w:r>
          </w:p>
        </w:tc>
      </w:tr>
      <w:tr w:rsidR="009B463A" w:rsidRPr="00542A11" w:rsidTr="00477577">
        <w:trPr>
          <w:cantSplit/>
          <w:jc w:val="center"/>
        </w:trPr>
        <w:tc>
          <w:tcPr>
            <w:tcW w:w="9303" w:type="dxa"/>
            <w:gridSpan w:val="3"/>
            <w:tcBorders>
              <w:top w:val="single" w:sz="6" w:space="0" w:color="auto"/>
              <w:left w:val="single" w:sz="6" w:space="0" w:color="auto"/>
              <w:bottom w:val="single" w:sz="4" w:space="0" w:color="auto"/>
              <w:right w:val="single" w:sz="6" w:space="0" w:color="auto"/>
            </w:tcBorders>
            <w:hideMark/>
          </w:tcPr>
          <w:p w:rsidR="009B463A" w:rsidRPr="00542A11" w:rsidRDefault="0094226B" w:rsidP="00477577">
            <w:pPr>
              <w:pStyle w:val="TableTextS5"/>
              <w:spacing w:line="200" w:lineRule="exact"/>
              <w:rPr>
                <w:color w:val="000000"/>
                <w:sz w:val="24"/>
                <w:szCs w:val="24"/>
                <w:lang w:val="en-AU"/>
              </w:rPr>
            </w:pPr>
            <w:r w:rsidRPr="00542A11">
              <w:rPr>
                <w:rStyle w:val="Tablefreq"/>
                <w:sz w:val="24"/>
                <w:szCs w:val="24"/>
              </w:rPr>
              <w:t>2 025-2 110</w:t>
            </w:r>
            <w:r w:rsidRPr="00542A11">
              <w:rPr>
                <w:color w:val="000000"/>
                <w:sz w:val="24"/>
                <w:szCs w:val="24"/>
                <w:lang w:val="en-AU"/>
              </w:rPr>
              <w:tab/>
              <w:t>SPACE OPERATION (Earth-to-space) (space-to-space)</w:t>
            </w:r>
          </w:p>
          <w:p w:rsidR="009B463A" w:rsidRPr="00542A11" w:rsidRDefault="0094226B" w:rsidP="00477577">
            <w:pPr>
              <w:pStyle w:val="TableTextS5"/>
              <w:spacing w:line="200" w:lineRule="exact"/>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t>EARTH EXPLORATION-SATELLITE (Earth-to-space) (space-to-space)</w:t>
            </w:r>
          </w:p>
          <w:p w:rsidR="009B463A" w:rsidRPr="00542A11" w:rsidRDefault="0094226B" w:rsidP="00477577">
            <w:pPr>
              <w:pStyle w:val="TableTextS5"/>
              <w:spacing w:line="200" w:lineRule="exact"/>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t>FIXED</w:t>
            </w:r>
          </w:p>
          <w:p w:rsidR="009B463A" w:rsidRPr="00542A11" w:rsidRDefault="0094226B" w:rsidP="00477577">
            <w:pPr>
              <w:pStyle w:val="TableTextS5"/>
              <w:spacing w:line="200" w:lineRule="exact"/>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t xml:space="preserve">MOBILE  </w:t>
            </w:r>
            <w:r w:rsidRPr="00542A11">
              <w:rPr>
                <w:rStyle w:val="Artref"/>
                <w:color w:val="000000"/>
                <w:sz w:val="24"/>
                <w:szCs w:val="24"/>
                <w:lang w:val="en-AU"/>
              </w:rPr>
              <w:t>5.391</w:t>
            </w:r>
          </w:p>
          <w:p w:rsidR="009B463A" w:rsidRPr="00542A11" w:rsidRDefault="0094226B" w:rsidP="00477577">
            <w:pPr>
              <w:pStyle w:val="TableTextS5"/>
              <w:spacing w:line="200" w:lineRule="exact"/>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t>SPACE RESEARCH (Earth-to-space) (space-to-space)</w:t>
            </w:r>
          </w:p>
          <w:p w:rsidR="009B463A" w:rsidRPr="00542A11" w:rsidRDefault="0094226B" w:rsidP="00477577">
            <w:pPr>
              <w:pStyle w:val="TableTextS5"/>
              <w:spacing w:line="200" w:lineRule="exact"/>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rStyle w:val="Artref"/>
                <w:color w:val="000000"/>
                <w:sz w:val="24"/>
                <w:szCs w:val="24"/>
                <w:lang w:val="en-AU"/>
              </w:rPr>
              <w:t>5.392</w:t>
            </w:r>
          </w:p>
        </w:tc>
      </w:tr>
    </w:tbl>
    <w:p w:rsidR="00E22845" w:rsidRPr="00542A11" w:rsidRDefault="0094226B">
      <w:pPr>
        <w:pStyle w:val="Reasons"/>
        <w:rPr>
          <w:szCs w:val="24"/>
          <w:lang w:val="en-US" w:eastAsia="x-none"/>
        </w:rPr>
      </w:pPr>
      <w:r w:rsidRPr="00542A11">
        <w:rPr>
          <w:b/>
          <w:szCs w:val="24"/>
        </w:rPr>
        <w:t>Reasons:</w:t>
      </w:r>
      <w:r w:rsidRPr="00542A11">
        <w:rPr>
          <w:szCs w:val="24"/>
        </w:rPr>
        <w:tab/>
      </w:r>
      <w:r w:rsidRPr="00542A11">
        <w:rPr>
          <w:szCs w:val="24"/>
          <w:lang w:val="en-US" w:eastAsia="x-none"/>
        </w:rPr>
        <w:t>ITU-R studies have shown that sharing is not feasible between International Mobile Telecommunications (IMT) systems and systems of incumbent services in the 2</w:t>
      </w:r>
      <w:r w:rsidRPr="00542A11">
        <w:rPr>
          <w:b/>
          <w:color w:val="000000"/>
          <w:szCs w:val="24"/>
          <w:lang w:val="en-US" w:eastAsia="x-none"/>
        </w:rPr>
        <w:t> </w:t>
      </w:r>
      <w:r w:rsidRPr="00542A11">
        <w:rPr>
          <w:szCs w:val="24"/>
          <w:lang w:val="en-US" w:eastAsia="x-none"/>
        </w:rPr>
        <w:t>025-2</w:t>
      </w:r>
      <w:r w:rsidRPr="00542A11">
        <w:rPr>
          <w:b/>
          <w:color w:val="000000"/>
          <w:szCs w:val="24"/>
          <w:lang w:val="en-US" w:eastAsia="x-none"/>
        </w:rPr>
        <w:t> </w:t>
      </w:r>
      <w:r w:rsidRPr="00542A11">
        <w:rPr>
          <w:szCs w:val="24"/>
          <w:lang w:val="en-US" w:eastAsia="x-none"/>
        </w:rPr>
        <w:t>110 MHz band.</w:t>
      </w:r>
    </w:p>
    <w:p w:rsidR="0094226B" w:rsidRPr="00542A11" w:rsidRDefault="0094226B">
      <w:pPr>
        <w:pStyle w:val="Reasons"/>
        <w:rPr>
          <w:szCs w:val="24"/>
        </w:rPr>
      </w:pPr>
    </w:p>
    <w:p w:rsidR="00E22845" w:rsidRDefault="0094226B">
      <w:pPr>
        <w:pStyle w:val="Proposal"/>
      </w:pPr>
      <w:r>
        <w:rPr>
          <w:u w:val="single"/>
        </w:rPr>
        <w:lastRenderedPageBreak/>
        <w:t>NOC</w:t>
      </w:r>
      <w:r w:rsidR="00542A11">
        <w:tab/>
        <w:t>IAP/1A1/11</w:t>
      </w:r>
    </w:p>
    <w:p w:rsidR="009B463A" w:rsidRPr="00542A11" w:rsidRDefault="0094226B" w:rsidP="009B463A">
      <w:pPr>
        <w:pStyle w:val="Tabletitle"/>
        <w:rPr>
          <w:sz w:val="24"/>
          <w:szCs w:val="24"/>
        </w:rPr>
      </w:pPr>
      <w:bookmarkStart w:id="11" w:name="_GoBack"/>
      <w:r w:rsidRPr="00542A11">
        <w:rPr>
          <w:sz w:val="24"/>
          <w:szCs w:val="24"/>
        </w:rPr>
        <w:t>2 170-2 520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2"/>
      </w:tblGrid>
      <w:tr w:rsidR="009B463A" w:rsidRPr="00542A11" w:rsidTr="00477577">
        <w:trPr>
          <w:cantSplit/>
          <w:jc w:val="center"/>
        </w:trPr>
        <w:tc>
          <w:tcPr>
            <w:tcW w:w="9304" w:type="dxa"/>
            <w:gridSpan w:val="3"/>
            <w:tcBorders>
              <w:top w:val="single" w:sz="4" w:space="0" w:color="auto"/>
              <w:left w:val="single" w:sz="6" w:space="0" w:color="auto"/>
              <w:bottom w:val="single" w:sz="6" w:space="0" w:color="auto"/>
              <w:right w:val="single" w:sz="6" w:space="0" w:color="auto"/>
            </w:tcBorders>
            <w:hideMark/>
          </w:tcPr>
          <w:p w:rsidR="009B463A" w:rsidRPr="00542A11" w:rsidRDefault="0094226B" w:rsidP="00477577">
            <w:pPr>
              <w:pStyle w:val="Tablehead"/>
              <w:rPr>
                <w:sz w:val="24"/>
                <w:szCs w:val="24"/>
              </w:rPr>
            </w:pPr>
            <w:r w:rsidRPr="00542A11">
              <w:rPr>
                <w:sz w:val="24"/>
                <w:szCs w:val="24"/>
              </w:rPr>
              <w:t>Allocation to services</w:t>
            </w:r>
          </w:p>
        </w:tc>
      </w:tr>
      <w:tr w:rsidR="009B463A" w:rsidRPr="00542A11" w:rsidTr="00477577">
        <w:trPr>
          <w:cantSplit/>
          <w:jc w:val="center"/>
        </w:trPr>
        <w:tc>
          <w:tcPr>
            <w:tcW w:w="3101" w:type="dxa"/>
            <w:tcBorders>
              <w:top w:val="single" w:sz="6" w:space="0" w:color="auto"/>
              <w:left w:val="single" w:sz="6" w:space="0" w:color="auto"/>
              <w:bottom w:val="single" w:sz="6" w:space="0" w:color="auto"/>
              <w:right w:val="single" w:sz="6" w:space="0" w:color="auto"/>
            </w:tcBorders>
            <w:hideMark/>
          </w:tcPr>
          <w:p w:rsidR="009B463A" w:rsidRPr="00542A11" w:rsidRDefault="0094226B" w:rsidP="00477577">
            <w:pPr>
              <w:pStyle w:val="Tablehead"/>
              <w:rPr>
                <w:sz w:val="24"/>
                <w:szCs w:val="24"/>
              </w:rPr>
            </w:pPr>
            <w:r w:rsidRPr="00542A11">
              <w:rPr>
                <w:sz w:val="24"/>
                <w:szCs w:val="24"/>
              </w:rPr>
              <w:t>Region 1</w:t>
            </w:r>
          </w:p>
        </w:tc>
        <w:tc>
          <w:tcPr>
            <w:tcW w:w="3101" w:type="dxa"/>
            <w:tcBorders>
              <w:top w:val="single" w:sz="6" w:space="0" w:color="auto"/>
              <w:left w:val="single" w:sz="6" w:space="0" w:color="auto"/>
              <w:bottom w:val="single" w:sz="6" w:space="0" w:color="auto"/>
              <w:right w:val="single" w:sz="6" w:space="0" w:color="auto"/>
            </w:tcBorders>
            <w:hideMark/>
          </w:tcPr>
          <w:p w:rsidR="009B463A" w:rsidRPr="00542A11" w:rsidRDefault="0094226B" w:rsidP="00477577">
            <w:pPr>
              <w:pStyle w:val="Tablehead"/>
              <w:rPr>
                <w:sz w:val="24"/>
                <w:szCs w:val="24"/>
              </w:rPr>
            </w:pPr>
            <w:r w:rsidRPr="00542A11">
              <w:rPr>
                <w:sz w:val="24"/>
                <w:szCs w:val="24"/>
              </w:rPr>
              <w:t>Region 2</w:t>
            </w:r>
          </w:p>
        </w:tc>
        <w:tc>
          <w:tcPr>
            <w:tcW w:w="3102" w:type="dxa"/>
            <w:tcBorders>
              <w:top w:val="single" w:sz="6" w:space="0" w:color="auto"/>
              <w:left w:val="single" w:sz="6" w:space="0" w:color="auto"/>
              <w:bottom w:val="single" w:sz="6" w:space="0" w:color="auto"/>
              <w:right w:val="single" w:sz="6" w:space="0" w:color="auto"/>
            </w:tcBorders>
            <w:hideMark/>
          </w:tcPr>
          <w:p w:rsidR="009B463A" w:rsidRPr="00542A11" w:rsidRDefault="0094226B" w:rsidP="00477577">
            <w:pPr>
              <w:pStyle w:val="Tablehead"/>
              <w:rPr>
                <w:sz w:val="24"/>
                <w:szCs w:val="24"/>
              </w:rPr>
            </w:pPr>
            <w:r w:rsidRPr="00542A11">
              <w:rPr>
                <w:sz w:val="24"/>
                <w:szCs w:val="24"/>
              </w:rPr>
              <w:t>Region 3</w:t>
            </w:r>
          </w:p>
        </w:tc>
      </w:tr>
      <w:tr w:rsidR="009B463A" w:rsidRPr="00542A11" w:rsidTr="00477577">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rsidR="009B463A" w:rsidRPr="00542A11" w:rsidRDefault="0094226B" w:rsidP="00477577">
            <w:pPr>
              <w:pStyle w:val="TableTextS5"/>
              <w:rPr>
                <w:color w:val="000000"/>
                <w:sz w:val="24"/>
                <w:szCs w:val="24"/>
                <w:lang w:val="en-AU"/>
              </w:rPr>
            </w:pPr>
            <w:r w:rsidRPr="00542A11">
              <w:rPr>
                <w:rStyle w:val="Tablefreq"/>
                <w:sz w:val="24"/>
                <w:szCs w:val="24"/>
              </w:rPr>
              <w:t>2 200-2 290</w:t>
            </w:r>
            <w:r w:rsidRPr="00542A11">
              <w:rPr>
                <w:color w:val="000000"/>
                <w:sz w:val="24"/>
                <w:szCs w:val="24"/>
                <w:lang w:val="en-AU"/>
              </w:rPr>
              <w:tab/>
              <w:t>SPACE OPERATION (space-to-Earth) (space-to-space)</w:t>
            </w:r>
          </w:p>
          <w:p w:rsidR="009B463A" w:rsidRPr="00542A11" w:rsidRDefault="0094226B" w:rsidP="00477577">
            <w:pPr>
              <w:pStyle w:val="TableTextS5"/>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t>EARTH EXPLORATION-SATELLITE (space-to-Earth) (space-to-space)</w:t>
            </w:r>
          </w:p>
          <w:p w:rsidR="009B463A" w:rsidRPr="00542A11" w:rsidRDefault="0094226B" w:rsidP="00477577">
            <w:pPr>
              <w:pStyle w:val="TableTextS5"/>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t>FIXED</w:t>
            </w:r>
          </w:p>
          <w:p w:rsidR="009B463A" w:rsidRPr="00542A11" w:rsidRDefault="0094226B" w:rsidP="00477577">
            <w:pPr>
              <w:pStyle w:val="TableTextS5"/>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t xml:space="preserve">MOBILE  </w:t>
            </w:r>
            <w:r w:rsidRPr="00542A11">
              <w:rPr>
                <w:rStyle w:val="Artref"/>
                <w:color w:val="000000"/>
                <w:sz w:val="24"/>
                <w:szCs w:val="24"/>
                <w:lang w:val="en-AU"/>
              </w:rPr>
              <w:t>5.391</w:t>
            </w:r>
          </w:p>
          <w:p w:rsidR="009B463A" w:rsidRPr="00542A11" w:rsidRDefault="0094226B" w:rsidP="00477577">
            <w:pPr>
              <w:pStyle w:val="TableTextS5"/>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t>SPACE RESEARCH (space-to-Earth) (space-to-space)</w:t>
            </w:r>
          </w:p>
          <w:p w:rsidR="009B463A" w:rsidRPr="00542A11" w:rsidRDefault="0094226B" w:rsidP="00477577">
            <w:pPr>
              <w:pStyle w:val="TableTextS5"/>
              <w:rPr>
                <w:color w:val="000000"/>
                <w:sz w:val="24"/>
                <w:szCs w:val="24"/>
                <w:lang w:val="en-AU"/>
              </w:rPr>
            </w:pP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color w:val="000000"/>
                <w:sz w:val="24"/>
                <w:szCs w:val="24"/>
                <w:lang w:val="en-AU"/>
              </w:rPr>
              <w:tab/>
            </w:r>
            <w:r w:rsidRPr="00542A11">
              <w:rPr>
                <w:rStyle w:val="Artref"/>
                <w:color w:val="000000"/>
                <w:sz w:val="24"/>
                <w:szCs w:val="24"/>
                <w:lang w:val="en-AU"/>
              </w:rPr>
              <w:t>5.392</w:t>
            </w:r>
          </w:p>
        </w:tc>
      </w:tr>
    </w:tbl>
    <w:p w:rsidR="00E22845" w:rsidRPr="00542A11" w:rsidRDefault="0094226B">
      <w:pPr>
        <w:pStyle w:val="Reasons"/>
        <w:rPr>
          <w:szCs w:val="24"/>
        </w:rPr>
      </w:pPr>
      <w:r w:rsidRPr="00542A11">
        <w:rPr>
          <w:b/>
          <w:szCs w:val="24"/>
        </w:rPr>
        <w:t>Reasons:</w:t>
      </w:r>
      <w:r w:rsidRPr="00542A11">
        <w:rPr>
          <w:szCs w:val="24"/>
        </w:rPr>
        <w:tab/>
        <w:t>ITU-R studies have shown that sharing is not feasible between International Mobile Telecommunications (IMT) systems and systems of incumbent services in the 2</w:t>
      </w:r>
      <w:r w:rsidRPr="00542A11">
        <w:rPr>
          <w:b/>
          <w:color w:val="000000"/>
          <w:szCs w:val="24"/>
        </w:rPr>
        <w:t> </w:t>
      </w:r>
      <w:r w:rsidRPr="00542A11">
        <w:rPr>
          <w:szCs w:val="24"/>
        </w:rPr>
        <w:t>200-2</w:t>
      </w:r>
      <w:r w:rsidRPr="00542A11">
        <w:rPr>
          <w:b/>
          <w:color w:val="000000"/>
          <w:szCs w:val="24"/>
        </w:rPr>
        <w:t> </w:t>
      </w:r>
      <w:r w:rsidRPr="00542A11">
        <w:rPr>
          <w:szCs w:val="24"/>
        </w:rPr>
        <w:t>290 MHz band.</w:t>
      </w:r>
      <w:bookmarkEnd w:id="11"/>
    </w:p>
    <w:sectPr w:rsidR="00E22845" w:rsidRPr="00542A11">
      <w:headerReference w:type="default" r:id="rId14"/>
      <w:footerReference w:type="even" r:id="rId15"/>
      <w:footerReference w:type="default" r:id="rId16"/>
      <w:footerReference w:type="first" r:id="rId17"/>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DDD" w:rsidRDefault="00F66DDD">
      <w:r>
        <w:separator/>
      </w:r>
    </w:p>
  </w:endnote>
  <w:endnote w:type="continuationSeparator" w:id="0">
    <w:p w:rsidR="00F66DDD" w:rsidRDefault="00F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42A11">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42A11">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3E0DB6">
      <w:rPr>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542A11">
      <w:t>20.08.15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DDD" w:rsidRDefault="00F66DDD">
      <w:r>
        <w:rPr>
          <w:b/>
        </w:rPr>
        <w:t>_______________</w:t>
      </w:r>
    </w:p>
  </w:footnote>
  <w:footnote w:type="continuationSeparator" w:id="0">
    <w:p w:rsidR="00F66DDD" w:rsidRDefault="00F66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542A11">
      <w:rPr>
        <w:noProof/>
      </w:rPr>
      <w:t>2</w:t>
    </w:r>
    <w:r>
      <w:fldChar w:fldCharType="end"/>
    </w:r>
  </w:p>
  <w:p w:rsidR="00A066F1" w:rsidRPr="00A066F1" w:rsidRDefault="00187BD9" w:rsidP="00241FA2">
    <w:pPr>
      <w:pStyle w:val="Header"/>
    </w:pPr>
    <w:r>
      <w:t>CMR1</w:t>
    </w:r>
    <w:r w:rsidR="00241FA2">
      <w:t>5</w:t>
    </w:r>
    <w:r w:rsidR="00A066F1">
      <w:t>/</w:t>
    </w:r>
    <w:bookmarkStart w:id="12" w:name="OLE_LINK1"/>
    <w:bookmarkStart w:id="13" w:name="OLE_LINK2"/>
    <w:bookmarkStart w:id="14" w:name="OLE_LINK3"/>
    <w:bookmarkEnd w:id="12"/>
    <w:bookmarkEnd w:id="13"/>
    <w:bookmarkEnd w:id="1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42A11"/>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226B"/>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3C94"/>
    <w:rsid w:val="00E205BC"/>
    <w:rsid w:val="00E22845"/>
    <w:rsid w:val="00E26226"/>
    <w:rsid w:val="00E45D05"/>
    <w:rsid w:val="00E55816"/>
    <w:rsid w:val="00E55AEF"/>
    <w:rsid w:val="00E976C1"/>
    <w:rsid w:val="00EA12E5"/>
    <w:rsid w:val="00EB55C6"/>
    <w:rsid w:val="00EF1932"/>
    <w:rsid w:val="00F02766"/>
    <w:rsid w:val="00F05BD4"/>
    <w:rsid w:val="00F6155B"/>
    <w:rsid w:val="00F65C19"/>
    <w:rsid w:val="00F66DDD"/>
    <w:rsid w:val="00FA2074"/>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9422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paragraph" w:styleId="ListParagraph">
    <w:name w:val="List Paragraph"/>
    <w:basedOn w:val="Normal"/>
    <w:uiPriority w:val="34"/>
    <w:qFormat/>
    <w:rsid w:val="00942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6V3PZHU2UA6J-360-1485</_dlc_DocId>
    <_dlc_DocIdUrl xmlns="e5f45a78-2a57-4e3a-8f35-d14530e19825">
      <Url>https://www.citel.oas.org/en/collaborative/pccii/26_CAN_15/_layouts/DocIdRedir.aspx?ID=6V3PZHU2UA6J-360-1485</Url>
      <Description>6V3PZHU2UA6J-360-1485</Description>
    </_dlc_DocIdUrl>
    <Agenda xmlns="e922daad-afb5-47f2-ab72-43d4d420a50d"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2.xml><?xml version="1.0" encoding="utf-8"?>
<ds:datastoreItem xmlns:ds="http://schemas.openxmlformats.org/officeDocument/2006/customXml" ds:itemID="{7D6D27AF-8C83-4976-999A-CC2223B8D4AB}">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7DBDDA08-9F31-4DC4-99A8-DA50E8BF0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7604F9-2E72-4902-A5F9-ED2D856E8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3</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R15-WRC15-C-4976!A1!MSW-E</vt:lpstr>
    </vt:vector>
  </TitlesOfParts>
  <Manager>General Secretariat - Pool</Manager>
  <Company>International Telecommunication Union (ITU)</Company>
  <LinksUpToDate>false</LinksUpToDate>
  <CharactersWithSpaces>3163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R15-WRC15-C-4976!A1!MSW-E</dc:title>
  <dc:subject>World Radiocommunication Conference - 2015</dc:subject>
  <dc:creator>Conference Proposals Interface (CPI)</dc:creator>
  <cp:keywords>CPI_5.2015.6.24</cp:keywords>
  <dc:description>Uploaded on 2015.07.06</dc:description>
  <cp:lastModifiedBy>CITEL</cp:lastModifiedBy>
  <cp:revision>4</cp:revision>
  <cp:lastPrinted>2014-02-10T09:49:00Z</cp:lastPrinted>
  <dcterms:created xsi:type="dcterms:W3CDTF">2015-08-20T18:14:00Z</dcterms:created>
  <dcterms:modified xsi:type="dcterms:W3CDTF">2015-09-05T18:35:00Z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25c23ca4-88be-4ad0-8f71-0908ff72983c</vt:lpwstr>
  </property>
</Properties>
</file>