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E86708">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 xml:space="preserve">Document </w:t>
            </w:r>
            <w:r w:rsidR="00E86708">
              <w:rPr>
                <w:rFonts w:ascii="Verdana" w:hAnsi="Verdana"/>
                <w:b/>
                <w:sz w:val="20"/>
              </w:rPr>
              <w:t>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E86708"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A64852"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8E2591" w:rsidRDefault="008E2591" w:rsidP="00187BD9">
      <w:pPr>
        <w:tabs>
          <w:tab w:val="clear" w:pos="1134"/>
          <w:tab w:val="clear" w:pos="1871"/>
          <w:tab w:val="clear" w:pos="2268"/>
        </w:tabs>
        <w:overflowPunct/>
        <w:autoSpaceDE/>
        <w:autoSpaceDN/>
        <w:adjustRightInd/>
        <w:spacing w:before="0"/>
        <w:textAlignment w:val="auto"/>
        <w:rPr>
          <w:b/>
          <w:lang w:val="fr-CH"/>
        </w:rPr>
      </w:pPr>
    </w:p>
    <w:p w:rsidR="0071512B" w:rsidRPr="00E86708" w:rsidRDefault="0071512B" w:rsidP="00E86708">
      <w:pPr>
        <w:tabs>
          <w:tab w:val="clear" w:pos="1134"/>
          <w:tab w:val="clear" w:pos="1871"/>
          <w:tab w:val="clear" w:pos="2268"/>
        </w:tabs>
        <w:overflowPunct/>
        <w:autoSpaceDE/>
        <w:autoSpaceDN/>
        <w:adjustRightInd/>
        <w:spacing w:before="0"/>
        <w:textAlignment w:val="auto"/>
        <w:rPr>
          <w:szCs w:val="24"/>
          <w:lang w:val="fr-CH"/>
        </w:rPr>
      </w:pPr>
      <w:r w:rsidRPr="00E86708">
        <w:rPr>
          <w:b/>
          <w:szCs w:val="24"/>
          <w:lang w:val="fr-CH"/>
        </w:rPr>
        <w:t>Background</w:t>
      </w:r>
    </w:p>
    <w:p w:rsidR="0071512B" w:rsidRPr="00E86708" w:rsidRDefault="0071512B" w:rsidP="00E86708">
      <w:pPr>
        <w:tabs>
          <w:tab w:val="clear" w:pos="1134"/>
          <w:tab w:val="clear" w:pos="1871"/>
          <w:tab w:val="clear" w:pos="2268"/>
        </w:tabs>
        <w:overflowPunct/>
        <w:autoSpaceDE/>
        <w:autoSpaceDN/>
        <w:adjustRightInd/>
        <w:spacing w:before="0"/>
        <w:textAlignment w:val="auto"/>
        <w:rPr>
          <w:szCs w:val="24"/>
          <w:lang w:val="fr-CH"/>
        </w:rPr>
      </w:pPr>
    </w:p>
    <w:p w:rsidR="0071512B" w:rsidRPr="00E86708" w:rsidRDefault="0071512B" w:rsidP="00E86708">
      <w:pPr>
        <w:rPr>
          <w:szCs w:val="24"/>
          <w:lang w:eastAsia="x-none"/>
        </w:rPr>
      </w:pPr>
      <w:r w:rsidRPr="00E86708">
        <w:rPr>
          <w:szCs w:val="24"/>
        </w:rPr>
        <w:t xml:space="preserve">The 2012 World </w:t>
      </w:r>
      <w:proofErr w:type="spellStart"/>
      <w:r w:rsidRPr="00E86708">
        <w:rPr>
          <w:szCs w:val="24"/>
        </w:rPr>
        <w:t>Radiocommunication</w:t>
      </w:r>
      <w:proofErr w:type="spellEnd"/>
      <w:r w:rsidRPr="00E86708">
        <w:rPr>
          <w:szCs w:val="24"/>
        </w:rPr>
        <w:t xml:space="preserve"> Conference (WRC-12) recognized a need for additional radio spectrum to support the increasing mobile data traffic, and placed consideration of additional spectrum allocations for terrestrial mobile broadband applications on the agenda for WRC-15.  The ITU </w:t>
      </w:r>
      <w:r w:rsidRPr="00E86708">
        <w:rPr>
          <w:szCs w:val="24"/>
          <w:lang w:eastAsia="x-none"/>
        </w:rPr>
        <w:t>established the Joint Task Group (JTG) 4-5-6-7 to consider spectrum requirements for IMT/mobile broadband and conduct compatibility studies taking into account protection requirements of other services from concerned ITU-R Working Parties.</w:t>
      </w:r>
    </w:p>
    <w:p w:rsidR="0071512B" w:rsidRPr="00E86708" w:rsidRDefault="0071512B" w:rsidP="00E86708">
      <w:pPr>
        <w:rPr>
          <w:szCs w:val="24"/>
        </w:rPr>
      </w:pPr>
      <w:r w:rsidRPr="00E86708">
        <w:rPr>
          <w:szCs w:val="24"/>
        </w:rPr>
        <w:t xml:space="preserve">The 2700-2900 MHz frequency band is allocated on a primary basis to the aeronautical </w:t>
      </w:r>
      <w:proofErr w:type="spellStart"/>
      <w:r w:rsidRPr="00E86708">
        <w:rPr>
          <w:szCs w:val="24"/>
        </w:rPr>
        <w:t>Radionavigation</w:t>
      </w:r>
      <w:proofErr w:type="spellEnd"/>
      <w:r w:rsidRPr="00E86708">
        <w:rPr>
          <w:szCs w:val="24"/>
        </w:rPr>
        <w:t xml:space="preserve"> service in all three Regions. ITU-R conducted compatibility studies between IMT and incumbent radar systems operating in the 2 700-2 900 MHz frequency band.  All these studies show co-frequency sharing is not feasible between radars and IMT systems in the same geographical location.  Adjacent-frequency sharing could be possible, but only after applying modifications to both the IMT systems and existing radar systems, imposing geographic separations between IMT and radar systems, and instituting a spectrum guard band between the IMT frequencies and radar frequencies.  The guard band size is dependent on the assumed IMT/radar modifications and the imposed geographic separations.  These studies are contained in the JTG 4-5-6-7 Chairman’s Report (Annex 30).  Based on the JTG 4-5-6-7 compatibility studies, global harmonization of the 2 700-2 900 MHz frequency band for IMT use is not feasible, and any possible IMT use in portions of this frequency band would be only at the national level, after coordination with </w:t>
      </w:r>
      <w:proofErr w:type="spellStart"/>
      <w:r w:rsidRPr="00E86708">
        <w:rPr>
          <w:szCs w:val="24"/>
        </w:rPr>
        <w:t>neighboring</w:t>
      </w:r>
      <w:proofErr w:type="spellEnd"/>
      <w:r w:rsidRPr="00E86708">
        <w:rPr>
          <w:szCs w:val="24"/>
        </w:rPr>
        <w:t xml:space="preserve"> countries, where the coordination distances potentially could be large (i.e., hundreds of </w:t>
      </w:r>
      <w:proofErr w:type="spellStart"/>
      <w:r w:rsidRPr="00E86708">
        <w:rPr>
          <w:szCs w:val="24"/>
        </w:rPr>
        <w:t>kilometers</w:t>
      </w:r>
      <w:proofErr w:type="spellEnd"/>
      <w:r w:rsidRPr="00E86708">
        <w:rPr>
          <w:szCs w:val="24"/>
        </w:rPr>
        <w:t xml:space="preserve">), to ensure protection of their radar use.   </w:t>
      </w:r>
    </w:p>
    <w:p w:rsidR="0071512B" w:rsidRPr="00E86708" w:rsidRDefault="0071512B" w:rsidP="00E86708">
      <w:pPr>
        <w:rPr>
          <w:szCs w:val="24"/>
        </w:rPr>
      </w:pPr>
      <w:r w:rsidRPr="00E86708">
        <w:rPr>
          <w:szCs w:val="24"/>
        </w:rPr>
        <w:t xml:space="preserve">In </w:t>
      </w:r>
      <w:r w:rsidR="00E86708">
        <w:rPr>
          <w:szCs w:val="24"/>
        </w:rPr>
        <w:t>some countries of the Americas region</w:t>
      </w:r>
      <w:r w:rsidRPr="00E86708">
        <w:rPr>
          <w:szCs w:val="24"/>
        </w:rPr>
        <w:t xml:space="preserve">, the frequency band 2 700-2 900 MHz is extensively used for air traffic control (ATC), weather, and </w:t>
      </w:r>
      <w:proofErr w:type="spellStart"/>
      <w:r w:rsidRPr="00E86708">
        <w:rPr>
          <w:szCs w:val="24"/>
        </w:rPr>
        <w:t>defense</w:t>
      </w:r>
      <w:proofErr w:type="spellEnd"/>
      <w:r w:rsidRPr="00E86708">
        <w:rPr>
          <w:szCs w:val="24"/>
        </w:rPr>
        <w:t xml:space="preserve"> radar systems.  The ATC applications are a safety service, subject to the additional protections offered by Radio Regulation No. </w:t>
      </w:r>
      <w:r w:rsidRPr="00E86708">
        <w:rPr>
          <w:b/>
          <w:szCs w:val="24"/>
        </w:rPr>
        <w:t>4.10</w:t>
      </w:r>
      <w:r w:rsidRPr="00E86708">
        <w:rPr>
          <w:szCs w:val="24"/>
        </w:rPr>
        <w:t>.  The radar systems utilize the full 2 700-2 900 MHz frequency band in the United States.  The United States cannot accommodate the necessary adjacent-frequency sharing conditions, including the required guard band, to support IMT implementation in this frequency band.</w:t>
      </w:r>
    </w:p>
    <w:p w:rsidR="0071512B" w:rsidRPr="00E86708" w:rsidRDefault="0071512B" w:rsidP="00E86708">
      <w:pPr>
        <w:tabs>
          <w:tab w:val="clear" w:pos="1134"/>
          <w:tab w:val="clear" w:pos="1871"/>
          <w:tab w:val="clear" w:pos="2268"/>
        </w:tabs>
        <w:overflowPunct/>
        <w:autoSpaceDE/>
        <w:autoSpaceDN/>
        <w:adjustRightInd/>
        <w:spacing w:before="0"/>
        <w:textAlignment w:val="auto"/>
        <w:rPr>
          <w:szCs w:val="24"/>
          <w:lang w:val="fr-CH"/>
        </w:rPr>
      </w:pPr>
      <w:r w:rsidRPr="00E86708">
        <w:rPr>
          <w:szCs w:val="24"/>
        </w:rPr>
        <w:t>Given the  ITU-R sharing study results between incumbent radar systems and IMT, CITEL proposes no change to the ITU Radio Regulations and cannot support mobile service allocations and/or IMT identification for the 2 700-2 900 MHz frequency band.</w:t>
      </w:r>
    </w:p>
    <w:p w:rsidR="0071512B" w:rsidRPr="00E86708" w:rsidRDefault="0071512B" w:rsidP="00E86708">
      <w:pPr>
        <w:tabs>
          <w:tab w:val="clear" w:pos="1134"/>
          <w:tab w:val="clear" w:pos="1871"/>
          <w:tab w:val="clear" w:pos="2268"/>
        </w:tabs>
        <w:overflowPunct/>
        <w:autoSpaceDE/>
        <w:autoSpaceDN/>
        <w:adjustRightInd/>
        <w:spacing w:before="0"/>
        <w:textAlignment w:val="auto"/>
        <w:rPr>
          <w:szCs w:val="24"/>
          <w:lang w:val="fr-CH"/>
        </w:rPr>
      </w:pPr>
    </w:p>
    <w:p w:rsidR="0071512B" w:rsidRPr="00E86708" w:rsidRDefault="0071512B" w:rsidP="00E86708">
      <w:pPr>
        <w:tabs>
          <w:tab w:val="clear" w:pos="1134"/>
          <w:tab w:val="clear" w:pos="1871"/>
          <w:tab w:val="clear" w:pos="2268"/>
        </w:tabs>
        <w:overflowPunct/>
        <w:autoSpaceDE/>
        <w:autoSpaceDN/>
        <w:adjustRightInd/>
        <w:spacing w:before="0"/>
        <w:textAlignment w:val="auto"/>
        <w:rPr>
          <w:szCs w:val="24"/>
          <w:lang w:val="fr-CH"/>
        </w:rPr>
      </w:pPr>
      <w:r w:rsidRPr="00E86708">
        <w:rPr>
          <w:szCs w:val="24"/>
          <w:lang w:val="fr-CH"/>
        </w:rPr>
        <w:br w:type="page"/>
      </w:r>
    </w:p>
    <w:p w:rsidR="0071512B" w:rsidRPr="00E86708" w:rsidRDefault="00E86708" w:rsidP="00E86708">
      <w:pPr>
        <w:tabs>
          <w:tab w:val="clear" w:pos="1134"/>
          <w:tab w:val="clear" w:pos="1871"/>
          <w:tab w:val="clear" w:pos="2268"/>
        </w:tabs>
        <w:overflowPunct/>
        <w:autoSpaceDE/>
        <w:autoSpaceDN/>
        <w:adjustRightInd/>
        <w:spacing w:before="0"/>
        <w:textAlignment w:val="auto"/>
        <w:rPr>
          <w:b/>
          <w:szCs w:val="24"/>
          <w:lang w:val="fr-CH"/>
        </w:rPr>
      </w:pPr>
      <w:proofErr w:type="spellStart"/>
      <w:r>
        <w:rPr>
          <w:b/>
          <w:szCs w:val="24"/>
          <w:lang w:val="fr-CH"/>
        </w:rPr>
        <w:lastRenderedPageBreak/>
        <w:t>Proposals</w:t>
      </w:r>
      <w:proofErr w:type="spellEnd"/>
    </w:p>
    <w:p w:rsidR="0071512B" w:rsidRPr="00E86708" w:rsidRDefault="0071512B" w:rsidP="00E86708">
      <w:pPr>
        <w:tabs>
          <w:tab w:val="clear" w:pos="1134"/>
          <w:tab w:val="clear" w:pos="1871"/>
          <w:tab w:val="clear" w:pos="2268"/>
        </w:tabs>
        <w:overflowPunct/>
        <w:autoSpaceDE/>
        <w:autoSpaceDN/>
        <w:adjustRightInd/>
        <w:spacing w:before="0"/>
        <w:textAlignment w:val="auto"/>
        <w:rPr>
          <w:szCs w:val="24"/>
          <w:lang w:val="fr-CH"/>
        </w:rPr>
      </w:pPr>
    </w:p>
    <w:p w:rsidR="009B463A" w:rsidRDefault="00A64852"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A64852" w:rsidP="009B463A">
      <w:pPr>
        <w:pStyle w:val="Arttitle"/>
        <w:rPr>
          <w:lang w:val="en-US"/>
        </w:rPr>
      </w:pPr>
      <w:bookmarkStart w:id="10" w:name="_Toc327956583"/>
      <w:r w:rsidRPr="006D07BF">
        <w:t>Frequency</w:t>
      </w:r>
      <w:r>
        <w:t xml:space="preserve"> allocations</w:t>
      </w:r>
      <w:bookmarkEnd w:id="10"/>
    </w:p>
    <w:p w:rsidR="009B463A" w:rsidRPr="00B25B23" w:rsidRDefault="00A6485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45193" w:rsidRPr="00E86708" w:rsidRDefault="00A64852">
      <w:pPr>
        <w:pStyle w:val="Proposal"/>
        <w:rPr>
          <w:szCs w:val="24"/>
        </w:rPr>
      </w:pPr>
      <w:r w:rsidRPr="00E86708">
        <w:rPr>
          <w:szCs w:val="24"/>
          <w:u w:val="single"/>
        </w:rPr>
        <w:t>NOC</w:t>
      </w:r>
      <w:r w:rsidR="00E86708" w:rsidRPr="00E86708">
        <w:rPr>
          <w:szCs w:val="24"/>
        </w:rPr>
        <w:tab/>
        <w:t>IAP/7</w:t>
      </w:r>
      <w:r w:rsidRPr="00E86708">
        <w:rPr>
          <w:szCs w:val="24"/>
        </w:rPr>
        <w:t>A1/1</w:t>
      </w:r>
      <w:r w:rsidR="00E86708" w:rsidRPr="00E86708">
        <w:rPr>
          <w:szCs w:val="24"/>
        </w:rPr>
        <w:t>2</w:t>
      </w:r>
    </w:p>
    <w:p w:rsidR="009B463A" w:rsidRPr="00E86708" w:rsidRDefault="00A64852" w:rsidP="009B463A">
      <w:pPr>
        <w:pStyle w:val="Tabletitle"/>
        <w:rPr>
          <w:sz w:val="24"/>
          <w:szCs w:val="24"/>
        </w:rPr>
      </w:pPr>
      <w:r w:rsidRPr="00E86708">
        <w:rPr>
          <w:sz w:val="24"/>
          <w:szCs w:val="24"/>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E86708"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E86708" w:rsidRDefault="00A64852" w:rsidP="00477577">
            <w:pPr>
              <w:pStyle w:val="Tablehead"/>
              <w:rPr>
                <w:sz w:val="24"/>
                <w:szCs w:val="24"/>
              </w:rPr>
            </w:pPr>
            <w:r w:rsidRPr="00E86708">
              <w:rPr>
                <w:sz w:val="24"/>
                <w:szCs w:val="24"/>
              </w:rPr>
              <w:t>Allocation to services</w:t>
            </w:r>
          </w:p>
        </w:tc>
      </w:tr>
      <w:tr w:rsidR="009B463A" w:rsidRPr="00E86708"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E86708" w:rsidRDefault="00A64852" w:rsidP="00477577">
            <w:pPr>
              <w:pStyle w:val="Tablehead"/>
              <w:rPr>
                <w:sz w:val="24"/>
                <w:szCs w:val="24"/>
              </w:rPr>
            </w:pPr>
            <w:r w:rsidRPr="00E86708">
              <w:rPr>
                <w:sz w:val="24"/>
                <w:szCs w:val="24"/>
              </w:rPr>
              <w:t>Region 1</w:t>
            </w:r>
          </w:p>
        </w:tc>
        <w:tc>
          <w:tcPr>
            <w:tcW w:w="3109" w:type="dxa"/>
            <w:tcBorders>
              <w:top w:val="single" w:sz="6" w:space="0" w:color="auto"/>
              <w:left w:val="single" w:sz="6" w:space="0" w:color="auto"/>
              <w:bottom w:val="single" w:sz="6" w:space="0" w:color="auto"/>
              <w:right w:val="single" w:sz="6" w:space="0" w:color="auto"/>
            </w:tcBorders>
          </w:tcPr>
          <w:p w:rsidR="009B463A" w:rsidRPr="00E86708" w:rsidRDefault="00A64852" w:rsidP="00477577">
            <w:pPr>
              <w:pStyle w:val="Tablehead"/>
              <w:rPr>
                <w:sz w:val="24"/>
                <w:szCs w:val="24"/>
              </w:rPr>
            </w:pPr>
            <w:r w:rsidRPr="00E86708">
              <w:rPr>
                <w:sz w:val="24"/>
                <w:szCs w:val="24"/>
              </w:rPr>
              <w:t>Region 2</w:t>
            </w:r>
          </w:p>
        </w:tc>
        <w:tc>
          <w:tcPr>
            <w:tcW w:w="3101" w:type="dxa"/>
            <w:tcBorders>
              <w:top w:val="single" w:sz="6" w:space="0" w:color="auto"/>
              <w:left w:val="single" w:sz="6" w:space="0" w:color="auto"/>
              <w:bottom w:val="single" w:sz="6" w:space="0" w:color="auto"/>
              <w:right w:val="single" w:sz="6" w:space="0" w:color="auto"/>
            </w:tcBorders>
          </w:tcPr>
          <w:p w:rsidR="009B463A" w:rsidRPr="00E86708" w:rsidRDefault="00A64852" w:rsidP="00477577">
            <w:pPr>
              <w:pStyle w:val="Tablehead"/>
              <w:rPr>
                <w:sz w:val="24"/>
                <w:szCs w:val="24"/>
              </w:rPr>
            </w:pPr>
            <w:r w:rsidRPr="00E86708">
              <w:rPr>
                <w:sz w:val="24"/>
                <w:szCs w:val="24"/>
              </w:rPr>
              <w:t>Region 3</w:t>
            </w:r>
          </w:p>
        </w:tc>
      </w:tr>
      <w:tr w:rsidR="009B463A" w:rsidRPr="00E86708" w:rsidTr="00477577">
        <w:trPr>
          <w:cantSplit/>
          <w:jc w:val="center"/>
        </w:trPr>
        <w:tc>
          <w:tcPr>
            <w:tcW w:w="9303" w:type="dxa"/>
            <w:gridSpan w:val="3"/>
            <w:tcBorders>
              <w:left w:val="single" w:sz="6" w:space="0" w:color="auto"/>
              <w:bottom w:val="single" w:sz="6" w:space="0" w:color="auto"/>
              <w:right w:val="single" w:sz="6" w:space="0" w:color="auto"/>
            </w:tcBorders>
          </w:tcPr>
          <w:p w:rsidR="009B463A" w:rsidRPr="00E86708" w:rsidRDefault="00A64852" w:rsidP="00477577">
            <w:pPr>
              <w:pStyle w:val="TableTextS5"/>
              <w:spacing w:before="20" w:after="20" w:line="220" w:lineRule="exact"/>
              <w:ind w:left="170" w:hanging="170"/>
              <w:rPr>
                <w:color w:val="000000"/>
                <w:sz w:val="24"/>
                <w:szCs w:val="24"/>
                <w:lang w:val="fr-FR"/>
              </w:rPr>
            </w:pPr>
            <w:r w:rsidRPr="00E86708">
              <w:rPr>
                <w:rStyle w:val="Tablefreq"/>
                <w:sz w:val="24"/>
                <w:szCs w:val="24"/>
              </w:rPr>
              <w:t>2 700-2 900</w:t>
            </w:r>
            <w:r w:rsidRPr="00E86708">
              <w:rPr>
                <w:color w:val="000000"/>
                <w:sz w:val="24"/>
                <w:szCs w:val="24"/>
              </w:rPr>
              <w:tab/>
              <w:t xml:space="preserve">AERONAUTICAL RADIONAVIGATION  </w:t>
            </w:r>
            <w:r w:rsidRPr="00E86708">
              <w:rPr>
                <w:rStyle w:val="Artref"/>
                <w:color w:val="000000"/>
                <w:sz w:val="24"/>
                <w:szCs w:val="24"/>
              </w:rPr>
              <w:t>5.337</w:t>
            </w:r>
          </w:p>
          <w:p w:rsidR="009B463A" w:rsidRPr="00E86708" w:rsidRDefault="00A64852" w:rsidP="00477577">
            <w:pPr>
              <w:pStyle w:val="TableTextS5"/>
              <w:spacing w:before="20" w:after="20" w:line="220" w:lineRule="exact"/>
              <w:ind w:left="170" w:hanging="170"/>
              <w:rPr>
                <w:color w:val="000000"/>
                <w:sz w:val="24"/>
                <w:szCs w:val="24"/>
              </w:rPr>
            </w:pPr>
            <w:r w:rsidRPr="00E86708">
              <w:rPr>
                <w:color w:val="000000"/>
                <w:sz w:val="24"/>
                <w:szCs w:val="24"/>
              </w:rPr>
              <w:tab/>
            </w:r>
            <w:r w:rsidRPr="00E86708">
              <w:rPr>
                <w:color w:val="000000"/>
                <w:sz w:val="24"/>
                <w:szCs w:val="24"/>
              </w:rPr>
              <w:tab/>
            </w:r>
            <w:r w:rsidRPr="00E86708">
              <w:rPr>
                <w:color w:val="000000"/>
                <w:sz w:val="24"/>
                <w:szCs w:val="24"/>
              </w:rPr>
              <w:tab/>
            </w:r>
            <w:r w:rsidRPr="00E86708">
              <w:rPr>
                <w:color w:val="000000"/>
                <w:sz w:val="24"/>
                <w:szCs w:val="24"/>
              </w:rPr>
              <w:tab/>
              <w:t>Radiolocation</w:t>
            </w:r>
          </w:p>
          <w:p w:rsidR="009B463A" w:rsidRPr="00E86708" w:rsidRDefault="00A64852" w:rsidP="00477577">
            <w:pPr>
              <w:pStyle w:val="TableTextS5"/>
              <w:rPr>
                <w:sz w:val="24"/>
                <w:szCs w:val="24"/>
              </w:rPr>
            </w:pPr>
            <w:r w:rsidRPr="00E86708">
              <w:rPr>
                <w:color w:val="000000"/>
                <w:sz w:val="24"/>
                <w:szCs w:val="24"/>
              </w:rPr>
              <w:tab/>
            </w:r>
            <w:r w:rsidRPr="00E86708">
              <w:rPr>
                <w:color w:val="000000"/>
                <w:sz w:val="24"/>
                <w:szCs w:val="24"/>
              </w:rPr>
              <w:tab/>
            </w:r>
            <w:r w:rsidRPr="00E86708">
              <w:rPr>
                <w:color w:val="000000"/>
                <w:sz w:val="24"/>
                <w:szCs w:val="24"/>
              </w:rPr>
              <w:tab/>
            </w:r>
            <w:r w:rsidRPr="00E86708">
              <w:rPr>
                <w:color w:val="000000"/>
                <w:sz w:val="24"/>
                <w:szCs w:val="24"/>
              </w:rPr>
              <w:tab/>
            </w:r>
            <w:r w:rsidRPr="00E86708">
              <w:rPr>
                <w:rStyle w:val="Artref"/>
                <w:color w:val="000000"/>
                <w:sz w:val="24"/>
                <w:szCs w:val="24"/>
              </w:rPr>
              <w:t>5.423</w:t>
            </w:r>
            <w:r w:rsidRPr="00E86708">
              <w:rPr>
                <w:color w:val="000000"/>
                <w:sz w:val="24"/>
                <w:szCs w:val="24"/>
              </w:rPr>
              <w:t xml:space="preserve">  </w:t>
            </w:r>
            <w:r w:rsidRPr="00E86708">
              <w:rPr>
                <w:rStyle w:val="Artref"/>
                <w:color w:val="000000"/>
                <w:sz w:val="24"/>
                <w:szCs w:val="24"/>
              </w:rPr>
              <w:t>5.424</w:t>
            </w:r>
          </w:p>
        </w:tc>
      </w:tr>
    </w:tbl>
    <w:p w:rsidR="00845193" w:rsidRPr="00E86708" w:rsidRDefault="00A64852">
      <w:pPr>
        <w:pStyle w:val="Reasons"/>
        <w:rPr>
          <w:szCs w:val="24"/>
          <w:lang w:val="en-US"/>
        </w:rPr>
      </w:pPr>
      <w:r w:rsidRPr="00E86708">
        <w:rPr>
          <w:b/>
          <w:szCs w:val="24"/>
        </w:rPr>
        <w:t>Reasons:</w:t>
      </w:r>
      <w:r w:rsidRPr="00E86708">
        <w:rPr>
          <w:szCs w:val="24"/>
        </w:rPr>
        <w:tab/>
      </w:r>
      <w:r w:rsidR="0071512B" w:rsidRPr="00E86708">
        <w:rPr>
          <w:szCs w:val="24"/>
          <w:lang w:val="en-US"/>
        </w:rPr>
        <w:t xml:space="preserve">ITU-R studies show that compatibility between IMT and incumbent radar systems is not feasible in the same geographical area. </w:t>
      </w:r>
      <w:r w:rsidR="00E86708" w:rsidRPr="00E86708">
        <w:rPr>
          <w:szCs w:val="24"/>
          <w:lang w:val="en-US"/>
        </w:rPr>
        <w:t>Some Member States of the Americas region</w:t>
      </w:r>
      <w:r w:rsidR="0071512B" w:rsidRPr="00E86708">
        <w:rPr>
          <w:szCs w:val="24"/>
          <w:lang w:val="en-US"/>
        </w:rPr>
        <w:t xml:space="preserve"> fully utilizes the frequency band for incumbent radar systems.</w:t>
      </w:r>
      <w:bookmarkStart w:id="11" w:name="_GoBack"/>
      <w:bookmarkEnd w:id="11"/>
    </w:p>
    <w:sectPr w:rsidR="00845193" w:rsidRPr="00E86708">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B5" w:rsidRDefault="00D06AB5">
      <w:r>
        <w:separator/>
      </w:r>
    </w:p>
  </w:endnote>
  <w:endnote w:type="continuationSeparator" w:id="0">
    <w:p w:rsidR="00D06AB5" w:rsidRDefault="00D0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86708">
      <w:rPr>
        <w:noProof/>
      </w:rPr>
      <w:t>21.08.15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86708">
      <w:t>21.08.15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86708">
      <w:t>21.08.15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B5" w:rsidRDefault="00D06AB5">
      <w:r>
        <w:rPr>
          <w:b/>
        </w:rPr>
        <w:t>_______________</w:t>
      </w:r>
    </w:p>
  </w:footnote>
  <w:footnote w:type="continuationSeparator" w:id="0">
    <w:p w:rsidR="00D06AB5" w:rsidRDefault="00D06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E86708">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51767"/>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1512B"/>
    <w:rsid w:val="00733A30"/>
    <w:rsid w:val="00745AEE"/>
    <w:rsid w:val="00750F10"/>
    <w:rsid w:val="007742CA"/>
    <w:rsid w:val="00790D70"/>
    <w:rsid w:val="007A6F1F"/>
    <w:rsid w:val="007D5320"/>
    <w:rsid w:val="00800972"/>
    <w:rsid w:val="00804475"/>
    <w:rsid w:val="00811633"/>
    <w:rsid w:val="00841216"/>
    <w:rsid w:val="00845193"/>
    <w:rsid w:val="00872FC8"/>
    <w:rsid w:val="008845D0"/>
    <w:rsid w:val="00884D60"/>
    <w:rsid w:val="008B43F2"/>
    <w:rsid w:val="008B6CFF"/>
    <w:rsid w:val="008E2591"/>
    <w:rsid w:val="008F3624"/>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4852"/>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6AB5"/>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86708"/>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6V3PZHU2UA6J-360-1486</_dlc_DocId>
    <_dlc_DocIdUrl xmlns="e5f45a78-2a57-4e3a-8f35-d14530e19825">
      <Url>https://www.citel.oas.org/en/collaborative/pccii/26_CAN_15/_layouts/DocIdRedir.aspx?ID=6V3PZHU2UA6J-360-1486</Url>
      <Description>6V3PZHU2UA6J-360-1486</Description>
    </_dlc_DocIdUrl>
    <Agenda xmlns="e922daad-afb5-47f2-ab72-43d4d420a5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4E547EA2-3373-48F3-BE45-CE82279806EE}">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4.xml><?xml version="1.0" encoding="utf-8"?>
<ds:datastoreItem xmlns:ds="http://schemas.openxmlformats.org/officeDocument/2006/customXml" ds:itemID="{32FD49D9-6B41-4E34-919F-099610549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9B6A8C-5933-47FA-A0D9-0A939889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R15-WRC15-C-4976!A1!MSW-E</vt:lpstr>
    </vt:vector>
  </TitlesOfParts>
  <Manager>General Secretariat - Pool</Manager>
  <Company>International Telecommunication Union (ITU)</Company>
  <LinksUpToDate>false</LinksUpToDate>
  <CharactersWithSpaces>3811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R15-WRC15-C-4976!A1!MSW-E</dc:title>
  <dc:subject>World Radiocommunication Conference - 2015</dc:subject>
  <dc:creator>Conference Proposals Interface (CPI)</dc:creator>
  <cp:keywords>CPI_5.2015.6.24</cp:keywords>
  <dc:description>Uploaded on 2015.07.06</dc:description>
  <cp:lastModifiedBy>CITEL</cp:lastModifiedBy>
  <cp:revision>6</cp:revision>
  <cp:lastPrinted>2014-02-10T09:49:00Z</cp:lastPrinted>
  <dcterms:created xsi:type="dcterms:W3CDTF">2015-08-20T17:43:00Z</dcterms:created>
  <dcterms:modified xsi:type="dcterms:W3CDTF">2015-09-05T18:59:00Z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348422a3-6180-4745-a480-b424830125de</vt:lpwstr>
  </property>
</Properties>
</file>