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2F02C9">
            <w:pPr>
              <w:tabs>
                <w:tab w:val="left" w:pos="851"/>
              </w:tabs>
              <w:spacing w:before="0" w:line="240" w:lineRule="atLeast"/>
              <w:rPr>
                <w:rFonts w:ascii="Verdana" w:hAnsi="Verdana"/>
                <w:sz w:val="20"/>
              </w:rPr>
            </w:pPr>
            <w:r>
              <w:rPr>
                <w:rFonts w:ascii="Verdana" w:hAnsi="Verdana"/>
                <w:b/>
                <w:sz w:val="20"/>
              </w:rPr>
              <w:t xml:space="preserve">Addendum </w:t>
            </w:r>
            <w:r w:rsidR="002F02C9">
              <w:rPr>
                <w:rFonts w:ascii="Verdana" w:hAnsi="Verdana"/>
                <w:b/>
                <w:sz w:val="20"/>
              </w:rPr>
              <w:t>1</w:t>
            </w:r>
            <w:r>
              <w:rPr>
                <w:rFonts w:ascii="Verdana" w:hAnsi="Verdana"/>
                <w:b/>
                <w:sz w:val="20"/>
              </w:rPr>
              <w:t xml:space="preserve"> to</w:t>
            </w:r>
            <w:r>
              <w:rPr>
                <w:rFonts w:ascii="Verdana" w:hAnsi="Verdana"/>
                <w:b/>
                <w:sz w:val="20"/>
              </w:rPr>
              <w:br/>
              <w:t xml:space="preserve">Document </w:t>
            </w:r>
            <w:r w:rsidR="002F02C9">
              <w:rPr>
                <w:rFonts w:ascii="Verdana" w:hAnsi="Verdana"/>
                <w:b/>
                <w:sz w:val="20"/>
              </w:rPr>
              <w:t>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21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w:t>
            </w:r>
          </w:p>
        </w:tc>
      </w:tr>
    </w:tbl>
    <w:p w:rsidR="005118F7" w:rsidRPr="009A2B70" w:rsidRDefault="00F00D4E"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41FA2" w:rsidRDefault="00241FA2" w:rsidP="00187BD9">
      <w:pPr>
        <w:tabs>
          <w:tab w:val="clear" w:pos="1134"/>
          <w:tab w:val="clear" w:pos="1871"/>
          <w:tab w:val="clear" w:pos="2268"/>
        </w:tabs>
        <w:overflowPunct/>
        <w:autoSpaceDE/>
        <w:autoSpaceDN/>
        <w:adjustRightInd/>
        <w:spacing w:before="0"/>
        <w:textAlignment w:val="auto"/>
        <w:rPr>
          <w:lang w:val="fr-CH"/>
        </w:rPr>
      </w:pPr>
    </w:p>
    <w:p w:rsidR="002F02C9" w:rsidRDefault="002F02C9">
      <w:pPr>
        <w:tabs>
          <w:tab w:val="clear" w:pos="1134"/>
          <w:tab w:val="clear" w:pos="1871"/>
          <w:tab w:val="clear" w:pos="2268"/>
        </w:tabs>
        <w:overflowPunct/>
        <w:autoSpaceDE/>
        <w:autoSpaceDN/>
        <w:adjustRightInd/>
        <w:spacing w:before="0"/>
        <w:textAlignment w:val="auto"/>
        <w:rPr>
          <w:b/>
          <w:sz w:val="22"/>
          <w:szCs w:val="22"/>
        </w:rPr>
      </w:pPr>
      <w:r>
        <w:rPr>
          <w:b/>
          <w:sz w:val="22"/>
          <w:szCs w:val="22"/>
        </w:rPr>
        <w:br w:type="page"/>
      </w:r>
    </w:p>
    <w:p w:rsidR="002D0584" w:rsidRPr="00DF2D61" w:rsidRDefault="002F02C9" w:rsidP="002D0584">
      <w:pPr>
        <w:rPr>
          <w:b/>
          <w:szCs w:val="24"/>
        </w:rPr>
      </w:pPr>
      <w:r w:rsidRPr="00DF2D61">
        <w:rPr>
          <w:b/>
          <w:szCs w:val="24"/>
        </w:rPr>
        <w:lastRenderedPageBreak/>
        <w:t>Background</w:t>
      </w:r>
    </w:p>
    <w:p w:rsidR="002D0584" w:rsidRPr="00DF2D61" w:rsidRDefault="002D0584" w:rsidP="002D0584">
      <w:pPr>
        <w:jc w:val="both"/>
        <w:rPr>
          <w:szCs w:val="24"/>
        </w:rPr>
      </w:pPr>
    </w:p>
    <w:p w:rsidR="002D0584" w:rsidRPr="00DF2D61" w:rsidRDefault="002D0584" w:rsidP="001B6483">
      <w:pPr>
        <w:rPr>
          <w:rFonts w:eastAsia="???"/>
          <w:szCs w:val="24"/>
        </w:rPr>
      </w:pPr>
      <w:r w:rsidRPr="00DF2D61">
        <w:rPr>
          <w:szCs w:val="24"/>
        </w:rPr>
        <w:t>Due to the existence of an extensive network of earth stations in the region</w:t>
      </w:r>
      <w:r w:rsidR="00DF2D61">
        <w:rPr>
          <w:szCs w:val="24"/>
        </w:rPr>
        <w:t xml:space="preserve"> 2</w:t>
      </w:r>
      <w:r w:rsidRPr="00DF2D61">
        <w:rPr>
          <w:szCs w:val="24"/>
        </w:rPr>
        <w:t xml:space="preserve">, it turns out to be unfeasible the allocation of the 3600-4200 MHz band to the mobile service in the region. </w:t>
      </w:r>
      <w:r w:rsidRPr="00DF2D61">
        <w:rPr>
          <w:rFonts w:eastAsia="???"/>
          <w:szCs w:val="24"/>
        </w:rPr>
        <w:t>C band, including the Extended C band, is of special relevance</w:t>
      </w:r>
      <w:r w:rsidR="00DF2D61">
        <w:rPr>
          <w:rFonts w:eastAsia="???"/>
          <w:szCs w:val="24"/>
        </w:rPr>
        <w:t xml:space="preserve"> for other regions that </w:t>
      </w:r>
      <w:r w:rsidRPr="00DF2D61">
        <w:rPr>
          <w:rFonts w:eastAsia="???"/>
          <w:szCs w:val="24"/>
        </w:rPr>
        <w:t>have an extensive continental area. Southern Asia, for its similar meteorological conditions (great rain precipitation) is another world region where C band is extensively used.</w:t>
      </w:r>
    </w:p>
    <w:p w:rsidR="002607F2" w:rsidRPr="002607F2" w:rsidRDefault="002D0584" w:rsidP="002607F2">
      <w:pPr>
        <w:rPr>
          <w:rFonts w:eastAsia="???"/>
          <w:szCs w:val="24"/>
        </w:rPr>
      </w:pPr>
      <w:r w:rsidRPr="00DF2D61">
        <w:rPr>
          <w:rFonts w:eastAsia="???"/>
          <w:szCs w:val="24"/>
        </w:rPr>
        <w:t xml:space="preserve">The use of C band is widespread in </w:t>
      </w:r>
      <w:r w:rsidR="00DF2D61">
        <w:rPr>
          <w:rFonts w:eastAsia="???"/>
          <w:szCs w:val="24"/>
        </w:rPr>
        <w:t>Region 2</w:t>
      </w:r>
      <w:r w:rsidRPr="00DF2D61">
        <w:rPr>
          <w:rFonts w:eastAsia="???"/>
          <w:szCs w:val="24"/>
        </w:rPr>
        <w:t xml:space="preserve">, due to its climate characteristics, associated with its continental dimensions and the lack of telecommunications infrastructure in several parts of the </w:t>
      </w:r>
      <w:r w:rsidR="00DF2D61">
        <w:rPr>
          <w:rFonts w:eastAsia="???"/>
          <w:szCs w:val="24"/>
        </w:rPr>
        <w:t>region</w:t>
      </w:r>
      <w:r w:rsidRPr="00DF2D61">
        <w:rPr>
          <w:rFonts w:eastAsia="???"/>
          <w:szCs w:val="24"/>
        </w:rPr>
        <w:t xml:space="preserve">. </w:t>
      </w:r>
      <w:r w:rsidR="002607F2">
        <w:rPr>
          <w:rFonts w:eastAsia="???"/>
          <w:szCs w:val="24"/>
        </w:rPr>
        <w:t>W</w:t>
      </w:r>
      <w:r w:rsidR="002607F2" w:rsidRPr="002607F2">
        <w:rPr>
          <w:rFonts w:eastAsia="???"/>
          <w:szCs w:val="24"/>
        </w:rPr>
        <w:t xml:space="preserve">here </w:t>
      </w:r>
      <w:proofErr w:type="spellStart"/>
      <w:r w:rsidR="002607F2" w:rsidRPr="002607F2">
        <w:rPr>
          <w:rFonts w:eastAsia="???"/>
          <w:szCs w:val="24"/>
        </w:rPr>
        <w:t>fiber</w:t>
      </w:r>
      <w:proofErr w:type="spellEnd"/>
      <w:r w:rsidR="002607F2" w:rsidRPr="002607F2">
        <w:rPr>
          <w:rFonts w:eastAsia="???"/>
          <w:szCs w:val="24"/>
        </w:rPr>
        <w:t xml:space="preserve"> networks are </w:t>
      </w:r>
      <w:r w:rsidR="002607F2">
        <w:rPr>
          <w:rFonts w:eastAsia="???"/>
          <w:szCs w:val="24"/>
        </w:rPr>
        <w:t xml:space="preserve">not yet </w:t>
      </w:r>
      <w:r w:rsidR="002607F2" w:rsidRPr="002607F2">
        <w:rPr>
          <w:rFonts w:eastAsia="???"/>
          <w:szCs w:val="24"/>
        </w:rPr>
        <w:t>implemented</w:t>
      </w:r>
      <w:r w:rsidR="002607F2">
        <w:rPr>
          <w:rFonts w:eastAsia="???"/>
          <w:szCs w:val="24"/>
        </w:rPr>
        <w:t>,</w:t>
      </w:r>
      <w:r w:rsidR="002607F2" w:rsidRPr="002607F2">
        <w:rPr>
          <w:rFonts w:eastAsia="???"/>
          <w:szCs w:val="24"/>
        </w:rPr>
        <w:t xml:space="preserve"> the </w:t>
      </w:r>
      <w:r w:rsidR="002607F2">
        <w:rPr>
          <w:rFonts w:eastAsia="???"/>
          <w:szCs w:val="24"/>
        </w:rPr>
        <w:t xml:space="preserve">use of </w:t>
      </w:r>
      <w:r w:rsidR="002607F2" w:rsidRPr="002607F2">
        <w:rPr>
          <w:rFonts w:eastAsia="???"/>
          <w:szCs w:val="24"/>
        </w:rPr>
        <w:t xml:space="preserve">C band is essential. In these bands, </w:t>
      </w:r>
      <w:r w:rsidR="002B3666" w:rsidRPr="002607F2">
        <w:rPr>
          <w:rFonts w:eastAsia="???"/>
          <w:szCs w:val="24"/>
        </w:rPr>
        <w:t xml:space="preserve">operate </w:t>
      </w:r>
      <w:r w:rsidR="002607F2" w:rsidRPr="002607F2">
        <w:rPr>
          <w:rFonts w:eastAsia="???"/>
          <w:szCs w:val="24"/>
        </w:rPr>
        <w:t>upstream signals of thousands of earth stations</w:t>
      </w:r>
      <w:r w:rsidR="002B3666">
        <w:rPr>
          <w:rFonts w:eastAsia="???"/>
          <w:szCs w:val="24"/>
        </w:rPr>
        <w:t xml:space="preserve"> associated</w:t>
      </w:r>
      <w:r w:rsidR="002607F2" w:rsidRPr="002607F2">
        <w:rPr>
          <w:rFonts w:eastAsia="???"/>
          <w:szCs w:val="24"/>
        </w:rPr>
        <w:t xml:space="preserve"> to networks that provide critical services for public institutions (functions of public order and security, natural disasters, social programs</w:t>
      </w:r>
      <w:r w:rsidR="002B3666">
        <w:rPr>
          <w:rFonts w:eastAsia="???"/>
          <w:szCs w:val="24"/>
        </w:rPr>
        <w:t xml:space="preserve"> of</w:t>
      </w:r>
      <w:r w:rsidR="002607F2" w:rsidRPr="002607F2">
        <w:rPr>
          <w:rFonts w:eastAsia="???"/>
          <w:szCs w:val="24"/>
        </w:rPr>
        <w:t xml:space="preserve"> distance learning, e-government services, etc.) that benefit millions of citizens. These bands are also used by commercial operators of public networks (DTH, Internet, VOIP, cellular backhaul) with millions of private users.</w:t>
      </w:r>
    </w:p>
    <w:p w:rsidR="002607F2" w:rsidRPr="002607F2" w:rsidRDefault="002607F2" w:rsidP="002607F2">
      <w:pPr>
        <w:rPr>
          <w:rFonts w:eastAsia="???"/>
          <w:szCs w:val="24"/>
        </w:rPr>
      </w:pPr>
      <w:r w:rsidRPr="002607F2">
        <w:rPr>
          <w:rFonts w:eastAsia="???"/>
          <w:szCs w:val="24"/>
        </w:rPr>
        <w:t xml:space="preserve">Due to the wide coverage characteristics, satellites operating in these frequency bands have been used extensively for rescue operations in case of catastrophes. In cases of catastrophic disasters such as tsunamis, earthquakes, hurricanes, </w:t>
      </w:r>
      <w:proofErr w:type="spellStart"/>
      <w:r w:rsidRPr="002607F2">
        <w:rPr>
          <w:rFonts w:eastAsia="???"/>
          <w:szCs w:val="24"/>
        </w:rPr>
        <w:t>etc</w:t>
      </w:r>
      <w:proofErr w:type="spellEnd"/>
      <w:r w:rsidRPr="002607F2">
        <w:rPr>
          <w:rFonts w:eastAsia="???"/>
          <w:szCs w:val="24"/>
        </w:rPr>
        <w:t xml:space="preserve"> where the telecommunications infrastructure "cable" is significantly or completely destroyed by the disaster, only </w:t>
      </w:r>
      <w:proofErr w:type="spellStart"/>
      <w:r w:rsidRPr="002607F2">
        <w:rPr>
          <w:rFonts w:eastAsia="???"/>
          <w:szCs w:val="24"/>
        </w:rPr>
        <w:t>radiocommunication</w:t>
      </w:r>
      <w:proofErr w:type="spellEnd"/>
      <w:r w:rsidRPr="002607F2">
        <w:rPr>
          <w:rFonts w:eastAsia="???"/>
          <w:szCs w:val="24"/>
        </w:rPr>
        <w:t xml:space="preserve"> services and especially the networks operating in the FSS can be used to disaster operations providing vital links between rescue teams on the ground, governments and health care benefits. Satellite networks using very small aperture stations, such as fixed and transportable VSAT stations are one of the most viable to provide emergency telecommunication services for rescue operations solutions. Systems operating in the FSS are not only vital for rescue operations in disasters, but are also extremely important before the disaster happens, enabling </w:t>
      </w:r>
      <w:r w:rsidR="00DC2802">
        <w:rPr>
          <w:rFonts w:eastAsia="???"/>
          <w:szCs w:val="24"/>
        </w:rPr>
        <w:t>to provide</w:t>
      </w:r>
      <w:r w:rsidRPr="002607F2">
        <w:rPr>
          <w:rFonts w:eastAsia="???"/>
          <w:szCs w:val="24"/>
        </w:rPr>
        <w:t xml:space="preserve"> alert </w:t>
      </w:r>
      <w:r w:rsidR="00DC2802">
        <w:rPr>
          <w:rFonts w:eastAsia="???"/>
          <w:szCs w:val="24"/>
        </w:rPr>
        <w:t xml:space="preserve">to </w:t>
      </w:r>
      <w:r w:rsidRPr="002607F2">
        <w:rPr>
          <w:rFonts w:eastAsia="???"/>
          <w:szCs w:val="24"/>
        </w:rPr>
        <w:t>all that may be involved.</w:t>
      </w:r>
    </w:p>
    <w:p w:rsidR="00DF2D61" w:rsidRDefault="00567B71" w:rsidP="002607F2">
      <w:pPr>
        <w:rPr>
          <w:rFonts w:eastAsia="???"/>
          <w:szCs w:val="24"/>
        </w:rPr>
      </w:pPr>
      <w:r>
        <w:rPr>
          <w:rFonts w:eastAsia="???"/>
          <w:szCs w:val="24"/>
        </w:rPr>
        <w:t>M</w:t>
      </w:r>
      <w:r w:rsidR="002607F2" w:rsidRPr="002607F2">
        <w:rPr>
          <w:rFonts w:eastAsia="???"/>
          <w:szCs w:val="24"/>
        </w:rPr>
        <w:t xml:space="preserve">any satellite systems </w:t>
      </w:r>
      <w:r>
        <w:rPr>
          <w:rFonts w:eastAsia="???"/>
          <w:szCs w:val="24"/>
        </w:rPr>
        <w:t>in operation e</w:t>
      </w:r>
      <w:r w:rsidRPr="002607F2">
        <w:rPr>
          <w:rFonts w:eastAsia="???"/>
          <w:szCs w:val="24"/>
        </w:rPr>
        <w:t xml:space="preserve">xist in the region </w:t>
      </w:r>
      <w:r w:rsidR="002607F2" w:rsidRPr="002607F2">
        <w:rPr>
          <w:rFonts w:eastAsia="???"/>
          <w:szCs w:val="24"/>
        </w:rPr>
        <w:t xml:space="preserve">whose network of earth stations deployed in the 3600-4200 MHz band makes it impossible for the </w:t>
      </w:r>
      <w:r>
        <w:rPr>
          <w:rFonts w:eastAsia="???"/>
          <w:szCs w:val="24"/>
        </w:rPr>
        <w:t>Administrations</w:t>
      </w:r>
      <w:r w:rsidR="002607F2" w:rsidRPr="002607F2">
        <w:rPr>
          <w:rFonts w:eastAsia="???"/>
          <w:szCs w:val="24"/>
        </w:rPr>
        <w:t xml:space="preserve"> to consider the use of that frequency band for mobile service.</w:t>
      </w:r>
    </w:p>
    <w:p w:rsidR="002D0584" w:rsidRDefault="002D0584" w:rsidP="001B6483">
      <w:pPr>
        <w:rPr>
          <w:rFonts w:eastAsia="???"/>
          <w:szCs w:val="24"/>
        </w:rPr>
      </w:pPr>
      <w:r w:rsidRPr="00DF2D61">
        <w:rPr>
          <w:rFonts w:eastAsia="???"/>
          <w:szCs w:val="24"/>
        </w:rPr>
        <w:t>The availability of FSS must be protected against interferences caused by wideband services in the following situations: adjacent channels in the 3400 - 3600 MHz segment and co-channels in the 3600 - 4200 MHz segment.</w:t>
      </w:r>
    </w:p>
    <w:p w:rsidR="00DC2802" w:rsidRPr="00DF2D61" w:rsidRDefault="00DC2802" w:rsidP="001B6483">
      <w:pPr>
        <w:rPr>
          <w:rFonts w:eastAsia="???"/>
          <w:szCs w:val="24"/>
        </w:rPr>
      </w:pPr>
      <w:r w:rsidRPr="00DC2802">
        <w:rPr>
          <w:rFonts w:eastAsia="???"/>
          <w:szCs w:val="24"/>
        </w:rPr>
        <w:t xml:space="preserve">Last studies </w:t>
      </w:r>
      <w:r>
        <w:rPr>
          <w:rFonts w:eastAsia="???"/>
          <w:szCs w:val="24"/>
        </w:rPr>
        <w:t xml:space="preserve">on </w:t>
      </w:r>
      <w:r w:rsidRPr="00DC2802">
        <w:rPr>
          <w:rFonts w:eastAsia="???"/>
          <w:szCs w:val="24"/>
        </w:rPr>
        <w:t xml:space="preserve">sharing </w:t>
      </w:r>
      <w:r w:rsidRPr="00DC2802">
        <w:rPr>
          <w:rFonts w:eastAsia="???"/>
          <w:szCs w:val="24"/>
        </w:rPr>
        <w:t>that have been conducted in ITU-R to assess the technical feasibility of introducing IMT Advanced systems in the band 3 400-4 200 MHz using the latest features of IMT-Advanced provided by the WP 5D to JTG. These sharing studies showing separation distances of tens of k</w:t>
      </w:r>
      <w:r>
        <w:rPr>
          <w:rFonts w:eastAsia="???"/>
          <w:szCs w:val="24"/>
        </w:rPr>
        <w:t>m</w:t>
      </w:r>
      <w:r w:rsidRPr="00DC2802">
        <w:rPr>
          <w:rFonts w:eastAsia="???"/>
          <w:szCs w:val="24"/>
        </w:rPr>
        <w:t xml:space="preserve">, which, considering the spread of FSS earth stations in the </w:t>
      </w:r>
      <w:r>
        <w:rPr>
          <w:rFonts w:eastAsia="???"/>
          <w:szCs w:val="24"/>
        </w:rPr>
        <w:t>region</w:t>
      </w:r>
      <w:r w:rsidRPr="00DC2802">
        <w:rPr>
          <w:rFonts w:eastAsia="???"/>
          <w:szCs w:val="24"/>
        </w:rPr>
        <w:t xml:space="preserve">, </w:t>
      </w:r>
      <w:r>
        <w:rPr>
          <w:rFonts w:eastAsia="???"/>
          <w:szCs w:val="24"/>
        </w:rPr>
        <w:t xml:space="preserve">makes </w:t>
      </w:r>
      <w:r w:rsidRPr="00DC2802">
        <w:rPr>
          <w:rFonts w:eastAsia="???"/>
          <w:szCs w:val="24"/>
        </w:rPr>
        <w:t>coexistence impossible.</w:t>
      </w:r>
    </w:p>
    <w:p w:rsidR="001B6483" w:rsidRDefault="001B6483">
      <w:pPr>
        <w:tabs>
          <w:tab w:val="clear" w:pos="1134"/>
          <w:tab w:val="clear" w:pos="1871"/>
          <w:tab w:val="clear" w:pos="2268"/>
        </w:tabs>
        <w:overflowPunct/>
        <w:autoSpaceDE/>
        <w:autoSpaceDN/>
        <w:adjustRightInd/>
        <w:spacing w:before="0"/>
        <w:textAlignment w:val="auto"/>
        <w:rPr>
          <w:b/>
          <w:lang w:val="fr-CH"/>
        </w:rPr>
      </w:pPr>
      <w:bookmarkStart w:id="9" w:name="_GoBack"/>
      <w:bookmarkEnd w:id="9"/>
      <w:r>
        <w:rPr>
          <w:b/>
          <w:lang w:val="fr-CH"/>
        </w:rPr>
        <w:br w:type="page"/>
      </w:r>
    </w:p>
    <w:p w:rsidR="002D0584" w:rsidRPr="002D0584" w:rsidRDefault="001B6483" w:rsidP="00187BD9">
      <w:pPr>
        <w:tabs>
          <w:tab w:val="clear" w:pos="1134"/>
          <w:tab w:val="clear" w:pos="1871"/>
          <w:tab w:val="clear" w:pos="2268"/>
        </w:tabs>
        <w:overflowPunct/>
        <w:autoSpaceDE/>
        <w:autoSpaceDN/>
        <w:adjustRightInd/>
        <w:spacing w:before="0"/>
        <w:textAlignment w:val="auto"/>
        <w:rPr>
          <w:b/>
          <w:lang w:val="fr-CH"/>
        </w:rPr>
      </w:pPr>
      <w:proofErr w:type="spellStart"/>
      <w:r>
        <w:rPr>
          <w:b/>
          <w:lang w:val="fr-CH"/>
        </w:rPr>
        <w:lastRenderedPageBreak/>
        <w:t>Proposals</w:t>
      </w:r>
      <w:proofErr w:type="spellEnd"/>
    </w:p>
    <w:p w:rsidR="009B463A" w:rsidRDefault="00F00D4E" w:rsidP="009B463A">
      <w:pPr>
        <w:pStyle w:val="ArtNo"/>
        <w:rPr>
          <w:lang w:val="en-AU"/>
        </w:rPr>
      </w:pPr>
      <w:bookmarkStart w:id="10" w:name="_Toc327956582"/>
      <w:r w:rsidRPr="006D07BF">
        <w:t>ARTICLE</w:t>
      </w:r>
      <w:r>
        <w:rPr>
          <w:lang w:val="en-AU"/>
        </w:rPr>
        <w:t xml:space="preserve"> </w:t>
      </w:r>
      <w:r>
        <w:rPr>
          <w:rStyle w:val="href"/>
          <w:rFonts w:eastAsiaTheme="majorEastAsia"/>
          <w:color w:val="000000"/>
          <w:lang w:val="en-AU"/>
        </w:rPr>
        <w:t>5</w:t>
      </w:r>
      <w:bookmarkEnd w:id="10"/>
    </w:p>
    <w:p w:rsidR="009B463A" w:rsidRDefault="00F00D4E" w:rsidP="009B463A">
      <w:pPr>
        <w:pStyle w:val="Arttitle"/>
        <w:rPr>
          <w:lang w:val="en-US"/>
        </w:rPr>
      </w:pPr>
      <w:bookmarkStart w:id="11" w:name="_Toc327956583"/>
      <w:r w:rsidRPr="006D07BF">
        <w:t>Frequency</w:t>
      </w:r>
      <w:r>
        <w:t xml:space="preserve"> allocations</w:t>
      </w:r>
      <w:bookmarkEnd w:id="11"/>
    </w:p>
    <w:p w:rsidR="009B463A" w:rsidRPr="00B25B23" w:rsidRDefault="00F00D4E"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CC66E7" w:rsidRDefault="00F00D4E">
      <w:pPr>
        <w:pStyle w:val="Proposal"/>
      </w:pPr>
      <w:r>
        <w:rPr>
          <w:u w:val="single"/>
        </w:rPr>
        <w:t>NOC</w:t>
      </w:r>
      <w:r>
        <w:tab/>
        <w:t>IAP/</w:t>
      </w:r>
      <w:r w:rsidR="001B6483">
        <w:t>7</w:t>
      </w:r>
      <w:r>
        <w:t>A1/1</w:t>
      </w:r>
      <w:r w:rsidR="001B6483">
        <w:t>5</w:t>
      </w:r>
    </w:p>
    <w:p w:rsidR="001B6483" w:rsidRDefault="001B6483" w:rsidP="009B463A">
      <w:pPr>
        <w:pStyle w:val="Tabletitle"/>
      </w:pPr>
    </w:p>
    <w:p w:rsidR="009B463A" w:rsidRPr="001B6483" w:rsidRDefault="00F00D4E" w:rsidP="009B463A">
      <w:pPr>
        <w:pStyle w:val="Tabletitle"/>
        <w:rPr>
          <w:sz w:val="24"/>
          <w:szCs w:val="24"/>
        </w:rPr>
      </w:pPr>
      <w:r w:rsidRPr="001B6483">
        <w:rPr>
          <w:sz w:val="24"/>
          <w:szCs w:val="24"/>
        </w:rPr>
        <w:t>2 700-4 800 MHz</w:t>
      </w:r>
    </w:p>
    <w:tbl>
      <w:tblPr>
        <w:tblW w:w="0" w:type="auto"/>
        <w:jc w:val="center"/>
        <w:tblLayout w:type="fixed"/>
        <w:tblCellMar>
          <w:left w:w="107" w:type="dxa"/>
          <w:right w:w="107" w:type="dxa"/>
        </w:tblCellMar>
        <w:tblLook w:val="0000" w:firstRow="0" w:lastRow="0" w:firstColumn="0" w:lastColumn="0" w:noHBand="0" w:noVBand="0"/>
      </w:tblPr>
      <w:tblGrid>
        <w:gridCol w:w="3093"/>
        <w:gridCol w:w="3109"/>
        <w:gridCol w:w="3101"/>
      </w:tblGrid>
      <w:tr w:rsidR="009B463A" w:rsidRPr="001B6483" w:rsidTr="00477577">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9B463A" w:rsidRPr="001B6483" w:rsidRDefault="00F00D4E" w:rsidP="00477577">
            <w:pPr>
              <w:pStyle w:val="Tablehead"/>
              <w:rPr>
                <w:sz w:val="24"/>
                <w:szCs w:val="24"/>
              </w:rPr>
            </w:pPr>
            <w:r w:rsidRPr="001B6483">
              <w:rPr>
                <w:sz w:val="24"/>
                <w:szCs w:val="24"/>
              </w:rPr>
              <w:t>Allocation to services</w:t>
            </w:r>
          </w:p>
        </w:tc>
      </w:tr>
      <w:tr w:rsidR="009B463A" w:rsidRPr="001B6483" w:rsidTr="00477577">
        <w:trPr>
          <w:cantSplit/>
          <w:jc w:val="center"/>
        </w:trPr>
        <w:tc>
          <w:tcPr>
            <w:tcW w:w="3093" w:type="dxa"/>
            <w:tcBorders>
              <w:top w:val="single" w:sz="6" w:space="0" w:color="auto"/>
              <w:left w:val="single" w:sz="6" w:space="0" w:color="auto"/>
              <w:bottom w:val="single" w:sz="6" w:space="0" w:color="auto"/>
              <w:right w:val="single" w:sz="6" w:space="0" w:color="auto"/>
            </w:tcBorders>
          </w:tcPr>
          <w:p w:rsidR="009B463A" w:rsidRPr="001B6483" w:rsidRDefault="00F00D4E" w:rsidP="00477577">
            <w:pPr>
              <w:pStyle w:val="Tablehead"/>
              <w:rPr>
                <w:sz w:val="24"/>
                <w:szCs w:val="24"/>
              </w:rPr>
            </w:pPr>
            <w:r w:rsidRPr="001B6483">
              <w:rPr>
                <w:sz w:val="24"/>
                <w:szCs w:val="24"/>
              </w:rPr>
              <w:t>Region 1</w:t>
            </w:r>
          </w:p>
        </w:tc>
        <w:tc>
          <w:tcPr>
            <w:tcW w:w="3109" w:type="dxa"/>
            <w:tcBorders>
              <w:top w:val="single" w:sz="6" w:space="0" w:color="auto"/>
              <w:left w:val="single" w:sz="6" w:space="0" w:color="auto"/>
              <w:bottom w:val="single" w:sz="6" w:space="0" w:color="auto"/>
              <w:right w:val="single" w:sz="6" w:space="0" w:color="auto"/>
            </w:tcBorders>
          </w:tcPr>
          <w:p w:rsidR="009B463A" w:rsidRPr="001B6483" w:rsidRDefault="00F00D4E" w:rsidP="00477577">
            <w:pPr>
              <w:pStyle w:val="Tablehead"/>
              <w:rPr>
                <w:sz w:val="24"/>
                <w:szCs w:val="24"/>
              </w:rPr>
            </w:pPr>
            <w:r w:rsidRPr="001B6483">
              <w:rPr>
                <w:sz w:val="24"/>
                <w:szCs w:val="24"/>
              </w:rPr>
              <w:t>Region 2</w:t>
            </w:r>
          </w:p>
        </w:tc>
        <w:tc>
          <w:tcPr>
            <w:tcW w:w="3101" w:type="dxa"/>
            <w:tcBorders>
              <w:top w:val="single" w:sz="6" w:space="0" w:color="auto"/>
              <w:left w:val="single" w:sz="6" w:space="0" w:color="auto"/>
              <w:bottom w:val="single" w:sz="6" w:space="0" w:color="auto"/>
              <w:right w:val="single" w:sz="6" w:space="0" w:color="auto"/>
            </w:tcBorders>
          </w:tcPr>
          <w:p w:rsidR="009B463A" w:rsidRPr="001B6483" w:rsidRDefault="00F00D4E" w:rsidP="00477577">
            <w:pPr>
              <w:pStyle w:val="Tablehead"/>
              <w:rPr>
                <w:sz w:val="24"/>
                <w:szCs w:val="24"/>
              </w:rPr>
            </w:pPr>
            <w:r w:rsidRPr="001B6483">
              <w:rPr>
                <w:sz w:val="24"/>
                <w:szCs w:val="24"/>
              </w:rPr>
              <w:t>Region 3</w:t>
            </w:r>
          </w:p>
        </w:tc>
      </w:tr>
      <w:tr w:rsidR="009B463A" w:rsidRPr="001B6483" w:rsidTr="00477577">
        <w:trPr>
          <w:cantSplit/>
          <w:jc w:val="center"/>
        </w:trPr>
        <w:tc>
          <w:tcPr>
            <w:tcW w:w="3093" w:type="dxa"/>
            <w:tcBorders>
              <w:top w:val="single" w:sz="6" w:space="0" w:color="auto"/>
              <w:left w:val="single" w:sz="6" w:space="0" w:color="auto"/>
              <w:right w:val="single" w:sz="6" w:space="0" w:color="auto"/>
            </w:tcBorders>
          </w:tcPr>
          <w:p w:rsidR="009B463A" w:rsidRPr="001B6483" w:rsidRDefault="00F00D4E" w:rsidP="00477577">
            <w:pPr>
              <w:pStyle w:val="TableTextS5"/>
              <w:spacing w:before="20" w:after="20" w:line="220" w:lineRule="exact"/>
              <w:ind w:left="170" w:hanging="170"/>
              <w:rPr>
                <w:rStyle w:val="Tablefreq"/>
                <w:sz w:val="24"/>
                <w:szCs w:val="24"/>
              </w:rPr>
            </w:pPr>
            <w:r w:rsidRPr="001B6483">
              <w:rPr>
                <w:rStyle w:val="Tablefreq"/>
                <w:sz w:val="24"/>
                <w:szCs w:val="24"/>
              </w:rPr>
              <w:t>3 600-4 200</w:t>
            </w:r>
          </w:p>
          <w:p w:rsidR="009B463A" w:rsidRPr="001B6483" w:rsidRDefault="00F00D4E" w:rsidP="00477577">
            <w:pPr>
              <w:pStyle w:val="TableTextS5"/>
              <w:spacing w:before="20" w:after="20" w:line="220" w:lineRule="exact"/>
              <w:ind w:left="170" w:hanging="170"/>
              <w:rPr>
                <w:color w:val="000000"/>
                <w:sz w:val="24"/>
                <w:szCs w:val="24"/>
              </w:rPr>
            </w:pPr>
            <w:r w:rsidRPr="001B6483">
              <w:rPr>
                <w:color w:val="000000"/>
                <w:sz w:val="24"/>
                <w:szCs w:val="24"/>
              </w:rPr>
              <w:t>FIXED</w:t>
            </w:r>
          </w:p>
          <w:p w:rsidR="009B463A" w:rsidRPr="001B6483" w:rsidRDefault="00F00D4E" w:rsidP="00477577">
            <w:pPr>
              <w:pStyle w:val="TableTextS5"/>
              <w:spacing w:before="20" w:after="20" w:line="220" w:lineRule="exact"/>
              <w:ind w:left="170" w:hanging="170"/>
              <w:rPr>
                <w:color w:val="000000"/>
                <w:sz w:val="24"/>
                <w:szCs w:val="24"/>
              </w:rPr>
            </w:pPr>
            <w:r w:rsidRPr="001B6483">
              <w:rPr>
                <w:color w:val="000000"/>
                <w:sz w:val="24"/>
                <w:szCs w:val="24"/>
              </w:rPr>
              <w:t>FIXED-SATELLITE</w:t>
            </w:r>
            <w:r w:rsidRPr="001B6483">
              <w:rPr>
                <w:color w:val="000000"/>
                <w:sz w:val="24"/>
                <w:szCs w:val="24"/>
              </w:rPr>
              <w:br/>
              <w:t>(space-to-Earth)</w:t>
            </w:r>
          </w:p>
          <w:p w:rsidR="009B463A" w:rsidRPr="001B6483" w:rsidRDefault="00F00D4E" w:rsidP="00477577">
            <w:pPr>
              <w:pStyle w:val="TableTextS5"/>
              <w:spacing w:before="20" w:after="20" w:line="220" w:lineRule="exact"/>
              <w:ind w:left="170" w:hanging="170"/>
              <w:rPr>
                <w:b/>
                <w:sz w:val="24"/>
                <w:szCs w:val="24"/>
              </w:rPr>
            </w:pPr>
            <w:r w:rsidRPr="001B6483">
              <w:rPr>
                <w:color w:val="000000"/>
                <w:sz w:val="24"/>
                <w:szCs w:val="24"/>
              </w:rPr>
              <w:t>Mobile</w:t>
            </w:r>
          </w:p>
        </w:tc>
        <w:tc>
          <w:tcPr>
            <w:tcW w:w="3109" w:type="dxa"/>
            <w:tcBorders>
              <w:left w:val="single" w:sz="6" w:space="0" w:color="auto"/>
              <w:bottom w:val="single" w:sz="6" w:space="0" w:color="auto"/>
              <w:right w:val="single" w:sz="6" w:space="0" w:color="auto"/>
            </w:tcBorders>
          </w:tcPr>
          <w:p w:rsidR="00D35C11" w:rsidRPr="001B6483" w:rsidRDefault="00D35C11" w:rsidP="00D35C11">
            <w:pPr>
              <w:pStyle w:val="TableTextS5"/>
              <w:spacing w:before="20" w:after="20" w:line="220" w:lineRule="exact"/>
              <w:ind w:left="170" w:hanging="170"/>
              <w:rPr>
                <w:rStyle w:val="Tablefreq"/>
                <w:sz w:val="24"/>
                <w:szCs w:val="24"/>
              </w:rPr>
            </w:pPr>
            <w:r w:rsidRPr="001B6483">
              <w:rPr>
                <w:rStyle w:val="Tablefreq"/>
                <w:sz w:val="24"/>
                <w:szCs w:val="24"/>
              </w:rPr>
              <w:t>3 500-3 700</w:t>
            </w:r>
          </w:p>
          <w:p w:rsidR="00D35C11" w:rsidRPr="001B6483" w:rsidRDefault="00D35C11" w:rsidP="00D35C11">
            <w:pPr>
              <w:pStyle w:val="TableTextS5"/>
              <w:spacing w:before="20" w:after="20" w:line="220" w:lineRule="exact"/>
              <w:ind w:left="170" w:hanging="170"/>
              <w:rPr>
                <w:color w:val="000000"/>
                <w:sz w:val="24"/>
                <w:szCs w:val="24"/>
              </w:rPr>
            </w:pPr>
            <w:r w:rsidRPr="001B6483">
              <w:rPr>
                <w:color w:val="000000"/>
                <w:sz w:val="24"/>
                <w:szCs w:val="24"/>
              </w:rPr>
              <w:t>FIXED</w:t>
            </w:r>
          </w:p>
          <w:p w:rsidR="00D35C11" w:rsidRPr="001B6483" w:rsidRDefault="00D35C11" w:rsidP="00D35C11">
            <w:pPr>
              <w:pStyle w:val="TableTextS5"/>
              <w:spacing w:before="20" w:after="20" w:line="220" w:lineRule="exact"/>
              <w:ind w:left="170" w:hanging="170"/>
              <w:rPr>
                <w:color w:val="000000"/>
                <w:sz w:val="24"/>
                <w:szCs w:val="24"/>
              </w:rPr>
            </w:pPr>
            <w:r w:rsidRPr="001B6483">
              <w:rPr>
                <w:color w:val="000000"/>
                <w:sz w:val="24"/>
                <w:szCs w:val="24"/>
              </w:rPr>
              <w:t>FIXED-SATELLITE (space-to-Earth)</w:t>
            </w:r>
          </w:p>
          <w:p w:rsidR="00D35C11" w:rsidRPr="001B6483" w:rsidRDefault="00D35C11" w:rsidP="00D35C11">
            <w:pPr>
              <w:pStyle w:val="TableTextS5"/>
              <w:spacing w:before="20" w:after="20" w:line="220" w:lineRule="exact"/>
              <w:ind w:left="170" w:hanging="170"/>
              <w:rPr>
                <w:color w:val="000000"/>
                <w:sz w:val="24"/>
                <w:szCs w:val="24"/>
                <w:lang w:val="fr-CH"/>
              </w:rPr>
            </w:pPr>
            <w:r w:rsidRPr="001B6483">
              <w:rPr>
                <w:color w:val="000000"/>
                <w:sz w:val="24"/>
                <w:szCs w:val="24"/>
                <w:lang w:val="fr-CH"/>
              </w:rPr>
              <w:t xml:space="preserve">MOBILE </w:t>
            </w:r>
            <w:proofErr w:type="spellStart"/>
            <w:r w:rsidRPr="001B6483">
              <w:rPr>
                <w:color w:val="000000"/>
                <w:sz w:val="24"/>
                <w:szCs w:val="24"/>
                <w:lang w:val="fr-CH"/>
              </w:rPr>
              <w:t>except</w:t>
            </w:r>
            <w:proofErr w:type="spellEnd"/>
            <w:r w:rsidRPr="001B6483">
              <w:rPr>
                <w:color w:val="000000"/>
                <w:sz w:val="24"/>
                <w:szCs w:val="24"/>
                <w:lang w:val="fr-CH"/>
              </w:rPr>
              <w:t xml:space="preserve"> </w:t>
            </w:r>
            <w:proofErr w:type="spellStart"/>
            <w:r w:rsidRPr="001B6483">
              <w:rPr>
                <w:color w:val="000000"/>
                <w:sz w:val="24"/>
                <w:szCs w:val="24"/>
                <w:lang w:val="fr-CH"/>
              </w:rPr>
              <w:t>aeronautical</w:t>
            </w:r>
            <w:proofErr w:type="spellEnd"/>
            <w:r w:rsidRPr="001B6483">
              <w:rPr>
                <w:color w:val="000000"/>
                <w:sz w:val="24"/>
                <w:szCs w:val="24"/>
                <w:lang w:val="fr-CH"/>
              </w:rPr>
              <w:t xml:space="preserve"> mobile</w:t>
            </w:r>
          </w:p>
          <w:p w:rsidR="009B463A" w:rsidRPr="001B6483" w:rsidRDefault="00D35C11" w:rsidP="00D35C11">
            <w:pPr>
              <w:pStyle w:val="TableTextS5"/>
              <w:rPr>
                <w:rStyle w:val="Artref"/>
                <w:color w:val="000000"/>
                <w:sz w:val="24"/>
                <w:szCs w:val="24"/>
                <w:lang w:val="fr-CH"/>
              </w:rPr>
            </w:pPr>
            <w:proofErr w:type="spellStart"/>
            <w:r w:rsidRPr="001B6483">
              <w:rPr>
                <w:color w:val="000000"/>
                <w:sz w:val="24"/>
                <w:szCs w:val="24"/>
                <w:lang w:val="fr-CH"/>
              </w:rPr>
              <w:t>Radiolocation</w:t>
            </w:r>
            <w:proofErr w:type="spellEnd"/>
            <w:r w:rsidRPr="001B6483">
              <w:rPr>
                <w:color w:val="000000"/>
                <w:sz w:val="24"/>
                <w:szCs w:val="24"/>
                <w:lang w:val="fr-CH"/>
              </w:rPr>
              <w:t xml:space="preserve">  </w:t>
            </w:r>
            <w:r w:rsidRPr="001B6483">
              <w:rPr>
                <w:sz w:val="24"/>
                <w:szCs w:val="24"/>
                <w:lang w:val="fr-CH"/>
              </w:rPr>
              <w:t>5.433</w:t>
            </w:r>
          </w:p>
        </w:tc>
        <w:tc>
          <w:tcPr>
            <w:tcW w:w="3101" w:type="dxa"/>
            <w:tcBorders>
              <w:top w:val="single" w:sz="6" w:space="0" w:color="auto"/>
              <w:left w:val="single" w:sz="6" w:space="0" w:color="auto"/>
              <w:bottom w:val="single" w:sz="6" w:space="0" w:color="auto"/>
              <w:right w:val="single" w:sz="6" w:space="0" w:color="auto"/>
            </w:tcBorders>
          </w:tcPr>
          <w:p w:rsidR="009B463A" w:rsidRPr="001B6483" w:rsidRDefault="00F00D4E" w:rsidP="00477577">
            <w:pPr>
              <w:pStyle w:val="TableTextS5"/>
              <w:spacing w:before="20" w:after="20" w:line="220" w:lineRule="exact"/>
              <w:ind w:left="170" w:hanging="170"/>
              <w:rPr>
                <w:rStyle w:val="Tablefreq"/>
                <w:sz w:val="24"/>
                <w:szCs w:val="24"/>
              </w:rPr>
            </w:pPr>
            <w:r w:rsidRPr="001B6483">
              <w:rPr>
                <w:rStyle w:val="Tablefreq"/>
                <w:sz w:val="24"/>
                <w:szCs w:val="24"/>
              </w:rPr>
              <w:t>3 600-3 700</w:t>
            </w:r>
          </w:p>
          <w:p w:rsidR="009B463A" w:rsidRPr="001B6483" w:rsidRDefault="00F00D4E" w:rsidP="00477577">
            <w:pPr>
              <w:pStyle w:val="TableTextS5"/>
              <w:spacing w:before="20" w:after="20" w:line="220" w:lineRule="exact"/>
              <w:ind w:left="170" w:hanging="170"/>
              <w:rPr>
                <w:color w:val="000000"/>
                <w:sz w:val="24"/>
                <w:szCs w:val="24"/>
              </w:rPr>
            </w:pPr>
            <w:r w:rsidRPr="001B6483">
              <w:rPr>
                <w:color w:val="000000"/>
                <w:sz w:val="24"/>
                <w:szCs w:val="24"/>
              </w:rPr>
              <w:t>FIXED</w:t>
            </w:r>
          </w:p>
          <w:p w:rsidR="009B463A" w:rsidRPr="001B6483" w:rsidRDefault="00F00D4E" w:rsidP="00477577">
            <w:pPr>
              <w:pStyle w:val="TableTextS5"/>
              <w:spacing w:before="20" w:after="20" w:line="220" w:lineRule="exact"/>
              <w:ind w:left="170" w:hanging="170"/>
              <w:rPr>
                <w:color w:val="000000"/>
                <w:sz w:val="24"/>
                <w:szCs w:val="24"/>
              </w:rPr>
            </w:pPr>
            <w:r w:rsidRPr="001B6483">
              <w:rPr>
                <w:color w:val="000000"/>
                <w:sz w:val="24"/>
                <w:szCs w:val="24"/>
              </w:rPr>
              <w:t>FIXED-SATELLITE (space-to-Earth)</w:t>
            </w:r>
          </w:p>
          <w:p w:rsidR="009B463A" w:rsidRPr="001B6483" w:rsidRDefault="00F00D4E" w:rsidP="00477577">
            <w:pPr>
              <w:pStyle w:val="TableTextS5"/>
              <w:spacing w:before="20" w:after="20" w:line="220" w:lineRule="exact"/>
              <w:ind w:left="170" w:hanging="170"/>
              <w:rPr>
                <w:color w:val="000000"/>
                <w:sz w:val="24"/>
                <w:szCs w:val="24"/>
                <w:lang w:val="fr-CH"/>
              </w:rPr>
            </w:pPr>
            <w:r w:rsidRPr="001B6483">
              <w:rPr>
                <w:color w:val="000000"/>
                <w:sz w:val="24"/>
                <w:szCs w:val="24"/>
                <w:lang w:val="fr-CH"/>
              </w:rPr>
              <w:t xml:space="preserve">MOBILE </w:t>
            </w:r>
            <w:proofErr w:type="spellStart"/>
            <w:r w:rsidRPr="001B6483">
              <w:rPr>
                <w:color w:val="000000"/>
                <w:sz w:val="24"/>
                <w:szCs w:val="24"/>
                <w:lang w:val="fr-CH"/>
              </w:rPr>
              <w:t>except</w:t>
            </w:r>
            <w:proofErr w:type="spellEnd"/>
            <w:r w:rsidRPr="001B6483">
              <w:rPr>
                <w:color w:val="000000"/>
                <w:sz w:val="24"/>
                <w:szCs w:val="24"/>
                <w:lang w:val="fr-CH"/>
              </w:rPr>
              <w:t xml:space="preserve"> </w:t>
            </w:r>
            <w:proofErr w:type="spellStart"/>
            <w:r w:rsidRPr="001B6483">
              <w:rPr>
                <w:color w:val="000000"/>
                <w:sz w:val="24"/>
                <w:szCs w:val="24"/>
                <w:lang w:val="fr-CH"/>
              </w:rPr>
              <w:t>aeronautical</w:t>
            </w:r>
            <w:proofErr w:type="spellEnd"/>
            <w:r w:rsidRPr="001B6483">
              <w:rPr>
                <w:color w:val="000000"/>
                <w:sz w:val="24"/>
                <w:szCs w:val="24"/>
                <w:lang w:val="fr-CH"/>
              </w:rPr>
              <w:t xml:space="preserve"> mobile</w:t>
            </w:r>
          </w:p>
          <w:p w:rsidR="009B463A" w:rsidRPr="001B6483" w:rsidRDefault="00F00D4E" w:rsidP="00477577">
            <w:pPr>
              <w:pStyle w:val="TableTextS5"/>
              <w:spacing w:before="20" w:after="20" w:line="220" w:lineRule="exact"/>
              <w:ind w:left="170" w:hanging="170"/>
              <w:rPr>
                <w:color w:val="000000"/>
                <w:sz w:val="24"/>
                <w:szCs w:val="24"/>
                <w:lang w:val="fr-CH"/>
              </w:rPr>
            </w:pPr>
            <w:proofErr w:type="spellStart"/>
            <w:r w:rsidRPr="001B6483">
              <w:rPr>
                <w:color w:val="000000"/>
                <w:sz w:val="24"/>
                <w:szCs w:val="24"/>
                <w:lang w:val="fr-CH"/>
              </w:rPr>
              <w:t>Radiolocation</w:t>
            </w:r>
            <w:proofErr w:type="spellEnd"/>
          </w:p>
          <w:p w:rsidR="009B463A" w:rsidRPr="001B6483" w:rsidRDefault="00F00D4E" w:rsidP="00477577">
            <w:pPr>
              <w:pStyle w:val="TableTextS5"/>
              <w:spacing w:before="20" w:after="20" w:line="220" w:lineRule="exact"/>
              <w:ind w:left="170" w:hanging="170"/>
              <w:rPr>
                <w:rStyle w:val="Artref"/>
                <w:color w:val="000000"/>
                <w:sz w:val="24"/>
                <w:szCs w:val="24"/>
                <w:lang w:val="fr-CH"/>
              </w:rPr>
            </w:pPr>
            <w:r w:rsidRPr="001B6483">
              <w:rPr>
                <w:sz w:val="24"/>
                <w:szCs w:val="24"/>
                <w:lang w:val="fr-CH"/>
              </w:rPr>
              <w:t>5.435</w:t>
            </w:r>
          </w:p>
        </w:tc>
      </w:tr>
      <w:tr w:rsidR="009B463A" w:rsidRPr="001B6483" w:rsidTr="00477577">
        <w:trPr>
          <w:cantSplit/>
          <w:jc w:val="center"/>
        </w:trPr>
        <w:tc>
          <w:tcPr>
            <w:tcW w:w="3093" w:type="dxa"/>
            <w:tcBorders>
              <w:left w:val="single" w:sz="6" w:space="0" w:color="auto"/>
              <w:bottom w:val="single" w:sz="6" w:space="0" w:color="auto"/>
              <w:right w:val="single" w:sz="6" w:space="0" w:color="auto"/>
            </w:tcBorders>
          </w:tcPr>
          <w:p w:rsidR="009B463A" w:rsidRPr="001B6483" w:rsidRDefault="00B933CB" w:rsidP="00477577">
            <w:pPr>
              <w:pStyle w:val="TableTextS5"/>
              <w:spacing w:before="20" w:after="20" w:line="220" w:lineRule="exact"/>
              <w:ind w:left="170" w:hanging="170"/>
              <w:rPr>
                <w:rStyle w:val="Tablefreq"/>
                <w:color w:val="000000"/>
                <w:sz w:val="24"/>
                <w:szCs w:val="24"/>
                <w:lang w:val="fr-CH"/>
              </w:rPr>
            </w:pPr>
          </w:p>
        </w:tc>
        <w:tc>
          <w:tcPr>
            <w:tcW w:w="6210" w:type="dxa"/>
            <w:gridSpan w:val="2"/>
            <w:tcBorders>
              <w:top w:val="single" w:sz="6" w:space="0" w:color="auto"/>
              <w:left w:val="single" w:sz="6" w:space="0" w:color="auto"/>
              <w:bottom w:val="single" w:sz="6" w:space="0" w:color="auto"/>
              <w:right w:val="single" w:sz="6" w:space="0" w:color="auto"/>
            </w:tcBorders>
          </w:tcPr>
          <w:p w:rsidR="009B463A" w:rsidRPr="001B6483" w:rsidRDefault="00F00D4E" w:rsidP="00477577">
            <w:pPr>
              <w:pStyle w:val="TableTextS5"/>
              <w:spacing w:before="20" w:after="20" w:line="220" w:lineRule="exact"/>
              <w:ind w:left="170" w:hanging="170"/>
              <w:rPr>
                <w:rStyle w:val="Tablefreq"/>
                <w:sz w:val="24"/>
                <w:szCs w:val="24"/>
              </w:rPr>
            </w:pPr>
            <w:r w:rsidRPr="001B6483">
              <w:rPr>
                <w:rStyle w:val="Tablefreq"/>
                <w:sz w:val="24"/>
                <w:szCs w:val="24"/>
              </w:rPr>
              <w:t>3 700-4 200</w:t>
            </w:r>
          </w:p>
          <w:p w:rsidR="009B463A" w:rsidRPr="001B6483" w:rsidRDefault="00F00D4E" w:rsidP="00477577">
            <w:pPr>
              <w:pStyle w:val="TableTextS5"/>
              <w:spacing w:before="20" w:after="20" w:line="220" w:lineRule="exact"/>
              <w:ind w:left="170" w:hanging="170"/>
              <w:rPr>
                <w:color w:val="000000"/>
                <w:sz w:val="24"/>
                <w:szCs w:val="24"/>
              </w:rPr>
            </w:pPr>
            <w:r w:rsidRPr="001B6483">
              <w:rPr>
                <w:color w:val="000000"/>
                <w:sz w:val="24"/>
                <w:szCs w:val="24"/>
              </w:rPr>
              <w:t>FIXED</w:t>
            </w:r>
          </w:p>
          <w:p w:rsidR="009B463A" w:rsidRPr="001B6483" w:rsidRDefault="00F00D4E" w:rsidP="00477577">
            <w:pPr>
              <w:pStyle w:val="TableTextS5"/>
              <w:spacing w:before="20" w:after="20" w:line="220" w:lineRule="exact"/>
              <w:ind w:left="170" w:hanging="170"/>
              <w:rPr>
                <w:color w:val="000000"/>
                <w:sz w:val="24"/>
                <w:szCs w:val="24"/>
              </w:rPr>
            </w:pPr>
            <w:r w:rsidRPr="001B6483">
              <w:rPr>
                <w:color w:val="000000"/>
                <w:sz w:val="24"/>
                <w:szCs w:val="24"/>
              </w:rPr>
              <w:t>FIXED-SATELLITE (space to-Earth)</w:t>
            </w:r>
          </w:p>
          <w:p w:rsidR="009B463A" w:rsidRPr="001B6483" w:rsidRDefault="00F00D4E" w:rsidP="00477577">
            <w:pPr>
              <w:pStyle w:val="TableTextS5"/>
              <w:spacing w:before="20" w:after="20" w:line="220" w:lineRule="exact"/>
              <w:ind w:left="170" w:hanging="170"/>
              <w:rPr>
                <w:rStyle w:val="Artref"/>
                <w:color w:val="000000"/>
                <w:sz w:val="24"/>
                <w:szCs w:val="24"/>
                <w:lang w:val="fr-CH"/>
              </w:rPr>
            </w:pPr>
            <w:r w:rsidRPr="001B6483">
              <w:rPr>
                <w:color w:val="000000"/>
                <w:sz w:val="24"/>
                <w:szCs w:val="24"/>
              </w:rPr>
              <w:t>MOBILE except aeronautical mobile</w:t>
            </w:r>
          </w:p>
        </w:tc>
      </w:tr>
    </w:tbl>
    <w:p w:rsidR="001B6483" w:rsidRPr="001B6483" w:rsidRDefault="00F00D4E">
      <w:pPr>
        <w:pStyle w:val="Reasons"/>
        <w:rPr>
          <w:szCs w:val="24"/>
          <w:lang w:val="en-US"/>
        </w:rPr>
      </w:pPr>
      <w:r w:rsidRPr="001B6483">
        <w:rPr>
          <w:b/>
          <w:szCs w:val="24"/>
        </w:rPr>
        <w:t>Reasons:</w:t>
      </w:r>
      <w:r w:rsidRPr="001B6483">
        <w:rPr>
          <w:szCs w:val="24"/>
        </w:rPr>
        <w:tab/>
      </w:r>
      <w:r w:rsidR="002D0584" w:rsidRPr="001B6483">
        <w:rPr>
          <w:szCs w:val="24"/>
          <w:lang w:val="en-US"/>
        </w:rPr>
        <w:t xml:space="preserve">Due to the existence of an extensive network of earth stations in the region, it turns out to be unfeasible the allocation of the 3600-4200 MHz band to the mobile service in the region. </w:t>
      </w:r>
    </w:p>
    <w:p w:rsidR="00CC66E7" w:rsidRPr="001B6483" w:rsidRDefault="002D0584">
      <w:pPr>
        <w:pStyle w:val="Reasons"/>
        <w:rPr>
          <w:szCs w:val="24"/>
        </w:rPr>
      </w:pPr>
      <w:r w:rsidRPr="001B6483">
        <w:rPr>
          <w:bCs/>
          <w:szCs w:val="24"/>
          <w:lang w:val="en-US"/>
        </w:rPr>
        <w:t>In the Americas region, this band is widely used by satellite systems in operation, and a large number of earth stations are deployed throughout its territory</w:t>
      </w:r>
      <w:r w:rsidRPr="001B6483">
        <w:rPr>
          <w:szCs w:val="24"/>
          <w:lang w:val="en-US"/>
        </w:rPr>
        <w:t xml:space="preserve">. </w:t>
      </w:r>
      <w:r w:rsidR="001B6483" w:rsidRPr="001B6483">
        <w:rPr>
          <w:szCs w:val="24"/>
          <w:lang w:val="en-US"/>
        </w:rPr>
        <w:t>P</w:t>
      </w:r>
      <w:r w:rsidRPr="001B6483">
        <w:rPr>
          <w:szCs w:val="24"/>
          <w:lang w:val="en-US"/>
        </w:rPr>
        <w:t>rojects have also been developed for new satellites that have recently been placed in orbit and other projects exist for the future launch of satellites that include the C-band and extended C-band, making it virtually impossible to identify band 3600-4200 MHz for IMT in the region</w:t>
      </w:r>
      <w:r w:rsidRPr="001B6483">
        <w:rPr>
          <w:rFonts w:eastAsia="???"/>
          <w:szCs w:val="24"/>
          <w:lang w:val="en-US"/>
        </w:rPr>
        <w:t>.</w:t>
      </w:r>
    </w:p>
    <w:sectPr w:rsidR="00CC66E7" w:rsidRPr="001B6483">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CB" w:rsidRDefault="00B933CB">
      <w:r>
        <w:separator/>
      </w:r>
    </w:p>
  </w:endnote>
  <w:endnote w:type="continuationSeparator" w:id="0">
    <w:p w:rsidR="00B933CB" w:rsidRDefault="00B9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
    <w:altName w:val="Batang"/>
    <w:panose1 w:val="00000000000000000000"/>
    <w:charset w:val="81"/>
    <w:family w:val="roman"/>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2F02C9">
      <w:rPr>
        <w:noProof/>
      </w:rPr>
      <w:t>21.08.15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2F02C9">
      <w:t>21.08.15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2F02C9">
      <w:t>21.08.15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CB" w:rsidRDefault="00B933CB">
      <w:r>
        <w:rPr>
          <w:b/>
        </w:rPr>
        <w:t>_______________</w:t>
      </w:r>
    </w:p>
  </w:footnote>
  <w:footnote w:type="continuationSeparator" w:id="0">
    <w:p w:rsidR="00B933CB" w:rsidRDefault="00B933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DC2802">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B6483"/>
    <w:rsid w:val="001C3B5F"/>
    <w:rsid w:val="001D058F"/>
    <w:rsid w:val="002009EA"/>
    <w:rsid w:val="00202CA0"/>
    <w:rsid w:val="00216B6D"/>
    <w:rsid w:val="00241FA2"/>
    <w:rsid w:val="002607F2"/>
    <w:rsid w:val="00271316"/>
    <w:rsid w:val="002B349C"/>
    <w:rsid w:val="002B3666"/>
    <w:rsid w:val="002D0584"/>
    <w:rsid w:val="002D58BE"/>
    <w:rsid w:val="002F02C9"/>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67B71"/>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36F6"/>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33CB"/>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C66E7"/>
    <w:rsid w:val="00CE388F"/>
    <w:rsid w:val="00CE5E47"/>
    <w:rsid w:val="00CF020F"/>
    <w:rsid w:val="00CF2B5B"/>
    <w:rsid w:val="00D14CE0"/>
    <w:rsid w:val="00D268B3"/>
    <w:rsid w:val="00D35C11"/>
    <w:rsid w:val="00D54009"/>
    <w:rsid w:val="00D5651D"/>
    <w:rsid w:val="00D57A34"/>
    <w:rsid w:val="00D74898"/>
    <w:rsid w:val="00D801ED"/>
    <w:rsid w:val="00D936BC"/>
    <w:rsid w:val="00D96530"/>
    <w:rsid w:val="00DC2802"/>
    <w:rsid w:val="00DD44AF"/>
    <w:rsid w:val="00DE2AC3"/>
    <w:rsid w:val="00DE5692"/>
    <w:rsid w:val="00DF2D61"/>
    <w:rsid w:val="00DF4BC6"/>
    <w:rsid w:val="00E03C94"/>
    <w:rsid w:val="00E205BC"/>
    <w:rsid w:val="00E26226"/>
    <w:rsid w:val="00E45D05"/>
    <w:rsid w:val="00E55816"/>
    <w:rsid w:val="00E55AEF"/>
    <w:rsid w:val="00E976C1"/>
    <w:rsid w:val="00EA12E5"/>
    <w:rsid w:val="00EB55C6"/>
    <w:rsid w:val="00EF1932"/>
    <w:rsid w:val="00F00D4E"/>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extS5Char">
    <w:name w:val="Table_TextS5 Char"/>
    <w:link w:val="TableTextS5"/>
    <w:locked/>
    <w:rsid w:val="009C36F6"/>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link w:val="TableTextS5Char"/>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TableTextS5Char">
    <w:name w:val="Table_TextS5 Char"/>
    <w:link w:val="TableTextS5"/>
    <w:locked/>
    <w:rsid w:val="009C36F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6V3PZHU2UA6J-360-1564</_dlc_DocId>
    <_dlc_DocIdUrl xmlns="e5f45a78-2a57-4e3a-8f35-d14530e19825">
      <Url>https://www.citel.oas.org/en/collaborative/pccii/26_CAN_15/_layouts/DocIdRedir.aspx?ID=6V3PZHU2UA6J-360-1564</Url>
      <Description>6V3PZHU2UA6J-360-1564</Description>
    </_dlc_DocIdUrl>
    <Agenda xmlns="e922daad-afb5-47f2-ab72-43d4d420a5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92003-8C8F-4246-8D16-9CF0022A327A}">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6B6035F4-91A8-46FB-8613-167D39B05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DDB101-0DF7-4317-931A-DF6ECEA9A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114</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R15-WRC15-C-4991!A1-A6!MSW-E</vt:lpstr>
    </vt:vector>
  </TitlesOfParts>
  <Manager>General Secretariat - Pool</Manager>
  <Company>International Telecommunication Union (ITU)</Company>
  <LinksUpToDate>false</LinksUpToDate>
  <CharactersWithSpaces>4878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R15-WRC15-C-4991!A1-A6!MSW-E</dc:title>
  <dc:subject>World Radiocommunication Conference - 2015</dc:subject>
  <dc:creator>Conference Proposals Interface (CPI)</dc:creator>
  <cp:keywords>CPI_5.2015.6.24</cp:keywords>
  <dc:description>Uploaded on 2015.07.06</dc:description>
  <cp:lastModifiedBy>CITEL</cp:lastModifiedBy>
  <cp:revision>15</cp:revision>
  <cp:lastPrinted>2014-02-10T09:49:00Z</cp:lastPrinted>
  <dcterms:created xsi:type="dcterms:W3CDTF">2015-08-21T04:04:00Z</dcterms:created>
  <dcterms:modified xsi:type="dcterms:W3CDTF">2015-09-05T20:48:00Z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e488ce50-0b5a-432d-add7-dbe173f87906</vt:lpwstr>
  </property>
</Properties>
</file>