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233626">
        <w:trPr>
          <w:cantSplit/>
        </w:trPr>
        <w:tc>
          <w:tcPr>
            <w:tcW w:w="6911" w:type="dxa"/>
          </w:tcPr>
          <w:p w:rsidR="00A066F1" w:rsidRPr="00233626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33626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(WRC-15)</w:t>
            </w:r>
            <w:r w:rsidRPr="00233626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233626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Geneva, 2–27 November 2015</w:t>
            </w:r>
          </w:p>
        </w:tc>
        <w:tc>
          <w:tcPr>
            <w:tcW w:w="3120" w:type="dxa"/>
          </w:tcPr>
          <w:p w:rsidR="00A066F1" w:rsidRPr="00233626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33626">
              <w:rPr>
                <w:noProof/>
                <w:lang w:val="en-US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23362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233626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233626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233626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23362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233626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233626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233626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23362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23362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233626" w:rsidRDefault="00E55816" w:rsidP="0046457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233626">
              <w:rPr>
                <w:rFonts w:ascii="Verdana" w:hAnsi="Verdana"/>
                <w:b/>
                <w:sz w:val="20"/>
              </w:rPr>
              <w:t>Addendum 13 to</w:t>
            </w:r>
            <w:r w:rsidRPr="00233626">
              <w:rPr>
                <w:rFonts w:ascii="Verdana" w:hAnsi="Verdana"/>
                <w:b/>
                <w:sz w:val="20"/>
              </w:rPr>
              <w:br/>
              <w:t xml:space="preserve">Document </w:t>
            </w:r>
            <w:r w:rsidR="00464575">
              <w:rPr>
                <w:rFonts w:ascii="Verdana" w:hAnsi="Verdana"/>
                <w:b/>
                <w:sz w:val="20"/>
              </w:rPr>
              <w:t>7</w:t>
            </w:r>
            <w:r w:rsidR="00A066F1" w:rsidRPr="00233626">
              <w:rPr>
                <w:rFonts w:ascii="Verdana" w:hAnsi="Verdana"/>
                <w:b/>
                <w:sz w:val="20"/>
              </w:rPr>
              <w:t>-</w:t>
            </w:r>
            <w:r w:rsidR="005E10C9" w:rsidRPr="0023362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233626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23362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:rsidR="00A066F1" w:rsidRPr="00233626" w:rsidRDefault="00464575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21 August</w:t>
            </w:r>
            <w:r w:rsidR="00420873" w:rsidRPr="00233626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A066F1" w:rsidRPr="00233626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23362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23362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23362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23362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233626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23362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233626" w:rsidRDefault="00884D60" w:rsidP="00E55816">
            <w:pPr>
              <w:pStyle w:val="Source"/>
            </w:pPr>
            <w:r w:rsidRPr="00233626">
              <w:t>Member States of the Inter-American Telecommunication Commission (CITEL)</w:t>
            </w:r>
          </w:p>
        </w:tc>
      </w:tr>
      <w:tr w:rsidR="00E55816" w:rsidRPr="0023362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233626" w:rsidRDefault="007D5320" w:rsidP="00E55816">
            <w:pPr>
              <w:pStyle w:val="Title1"/>
            </w:pPr>
            <w:r w:rsidRPr="00233626">
              <w:t>Proposals for the work of the conference</w:t>
            </w:r>
          </w:p>
        </w:tc>
      </w:tr>
      <w:tr w:rsidR="00E55816" w:rsidRPr="0023362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233626" w:rsidRDefault="00E55816" w:rsidP="00E55816">
            <w:pPr>
              <w:pStyle w:val="Title2"/>
            </w:pPr>
          </w:p>
        </w:tc>
      </w:tr>
      <w:tr w:rsidR="00A538A6" w:rsidRPr="0023362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233626" w:rsidRDefault="004B13CB" w:rsidP="004B13CB">
            <w:pPr>
              <w:pStyle w:val="Agendaitem"/>
            </w:pPr>
            <w:r w:rsidRPr="00233626">
              <w:t>Agenda item  1.13</w:t>
            </w:r>
          </w:p>
        </w:tc>
      </w:tr>
    </w:tbl>
    <w:bookmarkEnd w:id="6"/>
    <w:bookmarkEnd w:id="7"/>
    <w:p w:rsidR="00C51699" w:rsidRPr="00233626" w:rsidRDefault="00BD3AD6" w:rsidP="00BD345F">
      <w:pPr>
        <w:overflowPunct/>
        <w:autoSpaceDE/>
        <w:autoSpaceDN/>
        <w:adjustRightInd/>
        <w:spacing w:before="100"/>
        <w:textAlignment w:val="auto"/>
      </w:pPr>
      <w:r w:rsidRPr="00233626">
        <w:t>1.13</w:t>
      </w:r>
      <w:r w:rsidRPr="00233626">
        <w:tab/>
        <w:t>to review No. </w:t>
      </w:r>
      <w:r w:rsidRPr="00233626">
        <w:rPr>
          <w:b/>
          <w:bCs/>
        </w:rPr>
        <w:t>5.268</w:t>
      </w:r>
      <w:r w:rsidRPr="00233626">
        <w:t xml:space="preserve"> with a view to examining the possibility for increasing the 5 km distance limitation and allowing space research service (space-to-space) use for proximity operations by space vehicles communicating with an orbiting manned space vehicle, in accordance with Resolution </w:t>
      </w:r>
      <w:r w:rsidRPr="00233626">
        <w:rPr>
          <w:b/>
          <w:bCs/>
        </w:rPr>
        <w:t>652 (WRC</w:t>
      </w:r>
      <w:r w:rsidRPr="00233626">
        <w:rPr>
          <w:b/>
          <w:bCs/>
        </w:rPr>
        <w:noBreakHyphen/>
        <w:t>12)</w:t>
      </w:r>
      <w:r w:rsidRPr="00233626">
        <w:t>;</w:t>
      </w:r>
    </w:p>
    <w:p w:rsidR="00241FA2" w:rsidRPr="00233626" w:rsidRDefault="00241FA2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464575" w:rsidRDefault="0046457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C26A7" w:rsidRPr="00464575" w:rsidRDefault="00EC26A7" w:rsidP="00464575">
      <w:pPr>
        <w:rPr>
          <w:b/>
          <w:szCs w:val="24"/>
        </w:rPr>
      </w:pPr>
      <w:r w:rsidRPr="00464575">
        <w:rPr>
          <w:b/>
          <w:szCs w:val="24"/>
        </w:rPr>
        <w:lastRenderedPageBreak/>
        <w:t xml:space="preserve">Background </w:t>
      </w:r>
      <w:r w:rsidRPr="00464575">
        <w:rPr>
          <w:szCs w:val="24"/>
        </w:rPr>
        <w:t xml:space="preserve"> </w:t>
      </w:r>
    </w:p>
    <w:p w:rsidR="00EC26A7" w:rsidRPr="00464575" w:rsidRDefault="00EC26A7" w:rsidP="00464575">
      <w:pPr>
        <w:rPr>
          <w:szCs w:val="24"/>
        </w:rPr>
      </w:pPr>
      <w:r w:rsidRPr="00464575">
        <w:rPr>
          <w:szCs w:val="24"/>
        </w:rPr>
        <w:t>WARC-92 allocated the band 410-420 MHz to the space research service (SRS) on a secondary basis for extra-vehicular activity (EVA) communications in the immediate vicinity of low earth orbit (LEO) manned space vehicles, and limited the use of the band by the SRS to EVA operation within 5 </w:t>
      </w:r>
      <w:proofErr w:type="spellStart"/>
      <w:r w:rsidRPr="00464575">
        <w:rPr>
          <w:szCs w:val="24"/>
        </w:rPr>
        <w:t>kilometers</w:t>
      </w:r>
      <w:proofErr w:type="spellEnd"/>
      <w:r w:rsidRPr="00464575">
        <w:rPr>
          <w:szCs w:val="24"/>
        </w:rPr>
        <w:t xml:space="preserve"> (km) of orbiting manned space vehicles.  WRC</w:t>
      </w:r>
      <w:r w:rsidRPr="00464575">
        <w:rPr>
          <w:szCs w:val="24"/>
        </w:rPr>
        <w:noBreakHyphen/>
        <w:t xml:space="preserve">97 upgraded the allocation to the SRS in the band 410-420 MHz to primary status and No. </w:t>
      </w:r>
      <w:r w:rsidRPr="00464575">
        <w:rPr>
          <w:b/>
          <w:szCs w:val="24"/>
        </w:rPr>
        <w:t>5.268</w:t>
      </w:r>
      <w:r w:rsidRPr="00464575">
        <w:rPr>
          <w:szCs w:val="24"/>
        </w:rPr>
        <w:t xml:space="preserve"> specified a set of power flux-density (</w:t>
      </w:r>
      <w:proofErr w:type="spellStart"/>
      <w:r w:rsidRPr="00464575">
        <w:rPr>
          <w:szCs w:val="24"/>
        </w:rPr>
        <w:t>pfd</w:t>
      </w:r>
      <w:proofErr w:type="spellEnd"/>
      <w:r w:rsidRPr="00464575">
        <w:rPr>
          <w:szCs w:val="24"/>
        </w:rPr>
        <w:t xml:space="preserve">) limits to ensure protection of the fixed and mobile services while retaining the 5 km distance limitation for EVA operation.  </w:t>
      </w:r>
    </w:p>
    <w:p w:rsidR="00EC26A7" w:rsidRPr="00464575" w:rsidRDefault="00EC26A7" w:rsidP="00464575">
      <w:pPr>
        <w:rPr>
          <w:szCs w:val="24"/>
        </w:rPr>
      </w:pPr>
      <w:r w:rsidRPr="00464575">
        <w:rPr>
          <w:szCs w:val="24"/>
        </w:rPr>
        <w:t xml:space="preserve">Resolution </w:t>
      </w:r>
      <w:r w:rsidRPr="00464575">
        <w:rPr>
          <w:b/>
          <w:szCs w:val="24"/>
        </w:rPr>
        <w:t>652 (WRC-12)</w:t>
      </w:r>
      <w:r w:rsidRPr="00464575">
        <w:rPr>
          <w:szCs w:val="24"/>
        </w:rPr>
        <w:t>, recognizing c, states that “</w:t>
      </w:r>
      <w:r w:rsidRPr="00464575">
        <w:rPr>
          <w:i/>
          <w:szCs w:val="24"/>
        </w:rPr>
        <w:t>power flux-density (</w:t>
      </w:r>
      <w:proofErr w:type="spellStart"/>
      <w:r w:rsidRPr="00464575">
        <w:rPr>
          <w:i/>
          <w:szCs w:val="24"/>
        </w:rPr>
        <w:t>pfd</w:t>
      </w:r>
      <w:proofErr w:type="spellEnd"/>
      <w:r w:rsidRPr="00464575">
        <w:rPr>
          <w:i/>
          <w:szCs w:val="24"/>
        </w:rPr>
        <w:t>) limits contained in No. </w:t>
      </w:r>
      <w:r w:rsidRPr="00464575">
        <w:rPr>
          <w:b/>
          <w:i/>
          <w:szCs w:val="24"/>
        </w:rPr>
        <w:t>5.268</w:t>
      </w:r>
      <w:r w:rsidRPr="00464575">
        <w:rPr>
          <w:i/>
          <w:szCs w:val="24"/>
        </w:rPr>
        <w:t xml:space="preserve"> ensure the protection of terrestrial stations operating in the fixed and mobile services independent of the distance from, or the source of, space-to-space communications in the SRS</w:t>
      </w:r>
      <w:r w:rsidRPr="00464575">
        <w:rPr>
          <w:szCs w:val="24"/>
        </w:rPr>
        <w:t xml:space="preserve">.”  Also, long-term space exploration objectives require new activities around a manned space station other than EVA, such as visiting vehicles for crew transportation/cargo re-supply and free-fly proximity vehicles for inspection and maintenance.  These vehicles need to initiate communication over distances greater than 5 km to ensure proper vehicle positioning, data exchange and system monitoring.  ITU-R sharing studies within Working Party 7B demonstrate that communication links for a variety of space vehicles other than EVA can meet the </w:t>
      </w:r>
      <w:proofErr w:type="spellStart"/>
      <w:r w:rsidRPr="00464575">
        <w:rPr>
          <w:szCs w:val="24"/>
        </w:rPr>
        <w:t>pfd</w:t>
      </w:r>
      <w:proofErr w:type="spellEnd"/>
      <w:r w:rsidRPr="00464575">
        <w:rPr>
          <w:szCs w:val="24"/>
        </w:rPr>
        <w:t xml:space="preserve"> limits in No. </w:t>
      </w:r>
      <w:r w:rsidRPr="00464575">
        <w:rPr>
          <w:b/>
          <w:szCs w:val="24"/>
        </w:rPr>
        <w:t>5.268</w:t>
      </w:r>
      <w:r w:rsidRPr="00464575">
        <w:rPr>
          <w:szCs w:val="24"/>
        </w:rPr>
        <w:t xml:space="preserve"> for distances beyond 5 km by using different modulation, spreading technologies, and power control schemes (7B/88 Annex 1, Preliminary Draft New Report ITU-R SA</w:t>
      </w:r>
      <w:proofErr w:type="gramStart"/>
      <w:r w:rsidRPr="00464575">
        <w:rPr>
          <w:szCs w:val="24"/>
        </w:rPr>
        <w:t>.[</w:t>
      </w:r>
      <w:proofErr w:type="gramEnd"/>
      <w:r w:rsidRPr="00464575">
        <w:rPr>
          <w:szCs w:val="24"/>
        </w:rPr>
        <w:t xml:space="preserve">Proximity operations] - “Sharing conditions between space research service proximity operations links and fixed and mobile service links in the 410-420 MHz band).     </w:t>
      </w:r>
    </w:p>
    <w:p w:rsidR="00EC26A7" w:rsidRPr="00464575" w:rsidRDefault="00EC26A7" w:rsidP="00464575">
      <w:pPr>
        <w:rPr>
          <w:szCs w:val="24"/>
        </w:rPr>
      </w:pPr>
      <w:r w:rsidRPr="00464575">
        <w:rPr>
          <w:szCs w:val="24"/>
        </w:rPr>
        <w:t>Therefore, it is necessary to modify No.</w:t>
      </w:r>
      <w:r w:rsidRPr="00464575">
        <w:rPr>
          <w:b/>
          <w:szCs w:val="24"/>
        </w:rPr>
        <w:t xml:space="preserve"> 5.268 </w:t>
      </w:r>
      <w:r w:rsidRPr="00464575">
        <w:rPr>
          <w:szCs w:val="24"/>
        </w:rPr>
        <w:t xml:space="preserve">to remove both the 5 km distance limitation and restriction to EVA operation while maintaining the </w:t>
      </w:r>
      <w:proofErr w:type="spellStart"/>
      <w:r w:rsidRPr="00464575">
        <w:rPr>
          <w:szCs w:val="24"/>
        </w:rPr>
        <w:t>pfd</w:t>
      </w:r>
      <w:proofErr w:type="spellEnd"/>
      <w:r w:rsidRPr="00464575">
        <w:rPr>
          <w:szCs w:val="24"/>
        </w:rPr>
        <w:t xml:space="preserve"> limits.  Removal of these two restrictions will allow for greater flexibility in using the band 410-420 MHz for space research activities while maintaining protection of the terrestrial services.</w:t>
      </w:r>
    </w:p>
    <w:p w:rsidR="00187BD9" w:rsidRDefault="00187BD9" w:rsidP="0046457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fr-CH"/>
        </w:rPr>
      </w:pPr>
      <w:r w:rsidRPr="00464575">
        <w:rPr>
          <w:szCs w:val="24"/>
          <w:lang w:val="fr-CH"/>
        </w:rPr>
        <w:br w:type="page"/>
      </w:r>
    </w:p>
    <w:p w:rsidR="00464575" w:rsidRPr="00464575" w:rsidRDefault="00464575" w:rsidP="0046457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Cs w:val="24"/>
          <w:lang w:val="fr-CH"/>
        </w:rPr>
      </w:pPr>
      <w:proofErr w:type="spellStart"/>
      <w:r w:rsidRPr="00464575">
        <w:rPr>
          <w:b/>
          <w:szCs w:val="24"/>
          <w:lang w:val="fr-CH"/>
        </w:rPr>
        <w:lastRenderedPageBreak/>
        <w:t>Proposals</w:t>
      </w:r>
      <w:proofErr w:type="spellEnd"/>
    </w:p>
    <w:p w:rsidR="009B463A" w:rsidRPr="00233626" w:rsidRDefault="00BD3AD6" w:rsidP="009B463A">
      <w:pPr>
        <w:pStyle w:val="ArtNo"/>
        <w:rPr>
          <w:lang w:val="en-AU"/>
        </w:rPr>
      </w:pPr>
      <w:bookmarkStart w:id="8" w:name="_Toc327956582"/>
      <w:r w:rsidRPr="00233626">
        <w:t>ARTICLE</w:t>
      </w:r>
      <w:r w:rsidRPr="00233626">
        <w:rPr>
          <w:lang w:val="en-AU"/>
        </w:rPr>
        <w:t xml:space="preserve"> </w:t>
      </w:r>
      <w:r w:rsidRPr="00233626"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9B463A" w:rsidRPr="00233626" w:rsidRDefault="00BD3AD6" w:rsidP="009B463A">
      <w:pPr>
        <w:pStyle w:val="Arttitle"/>
        <w:rPr>
          <w:lang w:val="en-US"/>
        </w:rPr>
      </w:pPr>
      <w:bookmarkStart w:id="9" w:name="_Toc327956583"/>
      <w:r w:rsidRPr="00233626">
        <w:t>Frequency allocations</w:t>
      </w:r>
      <w:bookmarkEnd w:id="9"/>
    </w:p>
    <w:p w:rsidR="009B463A" w:rsidRPr="00233626" w:rsidRDefault="00BD3AD6" w:rsidP="009B463A">
      <w:pPr>
        <w:pStyle w:val="Section1"/>
        <w:keepNext/>
      </w:pPr>
      <w:r w:rsidRPr="00233626">
        <w:t>Section</w:t>
      </w:r>
      <w:r w:rsidRPr="00233626">
        <w:rPr>
          <w:lang w:val="en-AU"/>
        </w:rPr>
        <w:t xml:space="preserve"> IV – Table of Frequency Allocations</w:t>
      </w:r>
      <w:r w:rsidRPr="00233626">
        <w:rPr>
          <w:lang w:val="en-AU"/>
        </w:rPr>
        <w:br/>
      </w:r>
      <w:r w:rsidRPr="00233626">
        <w:rPr>
          <w:b w:val="0"/>
          <w:bCs/>
        </w:rPr>
        <w:t xml:space="preserve">(See No. </w:t>
      </w:r>
      <w:r w:rsidRPr="00233626">
        <w:t>2.1</w:t>
      </w:r>
      <w:r w:rsidRPr="00233626">
        <w:rPr>
          <w:b w:val="0"/>
          <w:bCs/>
        </w:rPr>
        <w:t>)</w:t>
      </w:r>
      <w:r w:rsidRPr="00233626">
        <w:rPr>
          <w:b w:val="0"/>
          <w:bCs/>
        </w:rPr>
        <w:br/>
      </w:r>
      <w:r w:rsidRPr="00233626">
        <w:br/>
      </w:r>
    </w:p>
    <w:p w:rsidR="006C397C" w:rsidRPr="00233626" w:rsidRDefault="00BD3AD6">
      <w:pPr>
        <w:pStyle w:val="Proposal"/>
      </w:pPr>
      <w:r w:rsidRPr="00233626">
        <w:t>MOD</w:t>
      </w:r>
      <w:r w:rsidRPr="00233626">
        <w:tab/>
        <w:t>IAP/</w:t>
      </w:r>
      <w:r w:rsidR="00464575">
        <w:t>7</w:t>
      </w:r>
      <w:r w:rsidRPr="00233626">
        <w:t>A13/1</w:t>
      </w:r>
    </w:p>
    <w:p w:rsidR="009B463A" w:rsidRPr="00233626" w:rsidRDefault="00BD3AD6" w:rsidP="009B463A">
      <w:pPr>
        <w:pStyle w:val="Note"/>
        <w:rPr>
          <w:lang w:val="en-AU"/>
        </w:rPr>
      </w:pPr>
      <w:r w:rsidRPr="00233626">
        <w:rPr>
          <w:rStyle w:val="Artdef"/>
        </w:rPr>
        <w:t>5.268</w:t>
      </w:r>
      <w:r w:rsidRPr="00233626">
        <w:rPr>
          <w:rStyle w:val="Artdef"/>
        </w:rPr>
        <w:tab/>
      </w:r>
      <w:r w:rsidRPr="00233626">
        <w:rPr>
          <w:lang w:val="en-AU"/>
        </w:rPr>
        <w:t xml:space="preserve">Use of the band 410-420 MHz by the space research service is limited to </w:t>
      </w:r>
      <w:ins w:id="10" w:author="Feldhake, Glenn S. (GRC-MSC0)" w:date="2015-07-16T13:57:00Z">
        <w:r w:rsidR="00EC26A7" w:rsidRPr="00233626">
          <w:rPr>
            <w:lang w:val="en-AU"/>
          </w:rPr>
          <w:t xml:space="preserve">space-to-space </w:t>
        </w:r>
      </w:ins>
      <w:r w:rsidRPr="00233626">
        <w:rPr>
          <w:lang w:val="en-AU"/>
        </w:rPr>
        <w:t xml:space="preserve">communications </w:t>
      </w:r>
      <w:del w:id="11" w:author="Feldhake, Glenn S. (GRC-MSC0)" w:date="2015-07-16T13:57:00Z">
        <w:r w:rsidRPr="00233626" w:rsidDel="00EC26A7">
          <w:rPr>
            <w:lang w:val="en-AU"/>
          </w:rPr>
          <w:delText xml:space="preserve">within 5 km of </w:delText>
        </w:r>
      </w:del>
      <w:ins w:id="12" w:author="Feldhake, Glenn S. (GRC-MSC0)" w:date="2015-07-16T13:57:00Z">
        <w:r w:rsidR="00EC26A7" w:rsidRPr="00233626">
          <w:rPr>
            <w:lang w:val="en-AU"/>
          </w:rPr>
          <w:t xml:space="preserve">with </w:t>
        </w:r>
      </w:ins>
      <w:r w:rsidRPr="00233626">
        <w:rPr>
          <w:lang w:val="en-AU"/>
        </w:rPr>
        <w:t xml:space="preserve">an orbiting, manned space vehicle. The power flux-density at the surface of the Earth produced by emissions from </w:t>
      </w:r>
      <w:del w:id="13" w:author="Feldhake, Glenn S. (GRC-MSC0)" w:date="2015-07-16T13:57:00Z">
        <w:r w:rsidRPr="00233626" w:rsidDel="00EC26A7">
          <w:rPr>
            <w:lang w:val="en-AU"/>
          </w:rPr>
          <w:delText xml:space="preserve">extra-vehicular activities </w:delText>
        </w:r>
      </w:del>
      <w:ins w:id="14" w:author="Feldhake, Glenn S. (GRC-MSC0)" w:date="2015-07-16T13:57:00Z">
        <w:r w:rsidR="00EC26A7" w:rsidRPr="00233626">
          <w:rPr>
            <w:lang w:val="en-AU"/>
          </w:rPr>
          <w:t>stations of the space research service (space-to-space) in the band 410-420</w:t>
        </w:r>
      </w:ins>
      <w:ins w:id="15" w:author="Feldhake, Glenn S. (GRC-MSC0)" w:date="2015-07-16T13:58:00Z">
        <w:r w:rsidR="00EC26A7" w:rsidRPr="00233626">
          <w:rPr>
            <w:lang w:val="en-AU"/>
          </w:rPr>
          <w:t> </w:t>
        </w:r>
      </w:ins>
      <w:ins w:id="16" w:author="Feldhake, Glenn S. (GRC-MSC0)" w:date="2015-07-16T13:57:00Z">
        <w:r w:rsidR="00EC26A7" w:rsidRPr="00233626">
          <w:rPr>
            <w:lang w:val="en-AU"/>
          </w:rPr>
          <w:t xml:space="preserve">MHz </w:t>
        </w:r>
      </w:ins>
      <w:r w:rsidRPr="00233626">
        <w:rPr>
          <w:lang w:val="en-AU"/>
        </w:rPr>
        <w:t>shall not exceed –153 dB(W/m</w:t>
      </w:r>
      <w:r w:rsidRPr="00233626">
        <w:rPr>
          <w:vertAlign w:val="superscript"/>
          <w:lang w:val="en-AU"/>
        </w:rPr>
        <w:t>2</w:t>
      </w:r>
      <w:r w:rsidRPr="00233626">
        <w:rPr>
          <w:lang w:val="en-AU"/>
        </w:rPr>
        <w:t>) for 0</w:t>
      </w:r>
      <w:r w:rsidRPr="00233626">
        <w:rPr>
          <w:rFonts w:ascii="Symbol" w:hAnsi="Symbol"/>
          <w:lang w:val="en-AU"/>
        </w:rPr>
        <w:t></w:t>
      </w:r>
      <w:r w:rsidRPr="00233626">
        <w:rPr>
          <w:lang w:val="en-AU"/>
        </w:rPr>
        <w:t> </w:t>
      </w:r>
      <w:r w:rsidRPr="00233626">
        <w:rPr>
          <w:rFonts w:ascii="Symbol" w:hAnsi="Symbol"/>
        </w:rPr>
        <w:sym w:font="Symbol" w:char="F0A3"/>
      </w:r>
      <w:r w:rsidRPr="00233626">
        <w:rPr>
          <w:lang w:val="en-AU"/>
        </w:rPr>
        <w:t> </w:t>
      </w:r>
      <w:r w:rsidRPr="00233626">
        <w:rPr>
          <w:rFonts w:ascii="Symbol" w:hAnsi="Symbol"/>
        </w:rPr>
        <w:sym w:font="Symbol" w:char="F064"/>
      </w:r>
      <w:r w:rsidRPr="00233626">
        <w:rPr>
          <w:lang w:val="en-AU"/>
        </w:rPr>
        <w:t> </w:t>
      </w:r>
      <w:r w:rsidRPr="00233626">
        <w:rPr>
          <w:rFonts w:ascii="Symbol" w:hAnsi="Symbol"/>
        </w:rPr>
        <w:sym w:font="Symbol" w:char="F0A3"/>
      </w:r>
      <w:r w:rsidRPr="00233626">
        <w:rPr>
          <w:lang w:val="en-AU"/>
        </w:rPr>
        <w:t> 5</w:t>
      </w:r>
      <w:r w:rsidRPr="00233626">
        <w:rPr>
          <w:rFonts w:ascii="Symbol" w:hAnsi="Symbol"/>
          <w:lang w:val="en-AU"/>
        </w:rPr>
        <w:t></w:t>
      </w:r>
      <w:r w:rsidRPr="00233626">
        <w:rPr>
          <w:lang w:val="en-AU"/>
        </w:rPr>
        <w:t xml:space="preserve">, </w:t>
      </w:r>
      <w:r w:rsidRPr="00233626">
        <w:rPr>
          <w:rFonts w:ascii="Symbol" w:hAnsi="Symbol"/>
          <w:lang w:val="en-AU"/>
        </w:rPr>
        <w:noBreakHyphen/>
      </w:r>
      <w:r w:rsidRPr="00233626">
        <w:rPr>
          <w:lang w:val="en-AU"/>
        </w:rPr>
        <w:t>153 </w:t>
      </w:r>
      <w:r w:rsidRPr="00233626">
        <w:rPr>
          <w:rFonts w:ascii="Symbol" w:hAnsi="Symbol"/>
          <w:lang w:val="en-AU"/>
        </w:rPr>
        <w:t></w:t>
      </w:r>
      <w:r w:rsidRPr="00233626">
        <w:rPr>
          <w:lang w:val="en-AU"/>
        </w:rPr>
        <w:t> 0.077 (</w:t>
      </w:r>
      <w:r w:rsidRPr="00233626">
        <w:rPr>
          <w:rFonts w:ascii="Symbol" w:hAnsi="Symbol"/>
        </w:rPr>
        <w:sym w:font="Symbol" w:char="F064"/>
      </w:r>
      <w:r w:rsidRPr="00233626">
        <w:rPr>
          <w:lang w:val="en-AU"/>
        </w:rPr>
        <w:t> – 5) dB(W/m</w:t>
      </w:r>
      <w:r w:rsidRPr="00233626">
        <w:rPr>
          <w:vertAlign w:val="superscript"/>
          <w:lang w:val="en-AU"/>
        </w:rPr>
        <w:t>2</w:t>
      </w:r>
      <w:r w:rsidRPr="00233626">
        <w:rPr>
          <w:lang w:val="en-AU"/>
        </w:rPr>
        <w:t>) for 5</w:t>
      </w:r>
      <w:r w:rsidRPr="00233626">
        <w:rPr>
          <w:rFonts w:ascii="Symbol" w:hAnsi="Symbol"/>
          <w:lang w:val="en-AU"/>
        </w:rPr>
        <w:t></w:t>
      </w:r>
      <w:r w:rsidRPr="00233626">
        <w:rPr>
          <w:lang w:val="en-AU"/>
        </w:rPr>
        <w:t> </w:t>
      </w:r>
      <w:r w:rsidRPr="00233626">
        <w:rPr>
          <w:rFonts w:ascii="Symbol" w:hAnsi="Symbol"/>
        </w:rPr>
        <w:sym w:font="Symbol" w:char="F0A3"/>
      </w:r>
      <w:r w:rsidRPr="00233626">
        <w:rPr>
          <w:lang w:val="en-AU"/>
        </w:rPr>
        <w:t> </w:t>
      </w:r>
      <w:r w:rsidRPr="00233626">
        <w:rPr>
          <w:rFonts w:ascii="Symbol" w:hAnsi="Symbol"/>
        </w:rPr>
        <w:sym w:font="Symbol" w:char="F064"/>
      </w:r>
      <w:r w:rsidRPr="00233626">
        <w:rPr>
          <w:lang w:val="en-AU"/>
        </w:rPr>
        <w:t> </w:t>
      </w:r>
      <w:r w:rsidRPr="00233626">
        <w:rPr>
          <w:rFonts w:ascii="Symbol" w:hAnsi="Symbol"/>
        </w:rPr>
        <w:sym w:font="Symbol" w:char="F0A3"/>
      </w:r>
      <w:r w:rsidRPr="00233626">
        <w:rPr>
          <w:lang w:val="en-AU"/>
        </w:rPr>
        <w:t> 70</w:t>
      </w:r>
      <w:r w:rsidRPr="00233626">
        <w:rPr>
          <w:rFonts w:ascii="Symbol" w:hAnsi="Symbol"/>
          <w:lang w:val="en-AU"/>
        </w:rPr>
        <w:t></w:t>
      </w:r>
      <w:r w:rsidRPr="00233626">
        <w:rPr>
          <w:lang w:val="en-AU"/>
        </w:rPr>
        <w:t xml:space="preserve"> and –148 dB(W/m</w:t>
      </w:r>
      <w:r w:rsidRPr="00233626">
        <w:rPr>
          <w:vertAlign w:val="superscript"/>
          <w:lang w:val="en-AU"/>
        </w:rPr>
        <w:t>2</w:t>
      </w:r>
      <w:r w:rsidRPr="00233626">
        <w:rPr>
          <w:lang w:val="en-AU"/>
        </w:rPr>
        <w:t>) for 70</w:t>
      </w:r>
      <w:r w:rsidRPr="00233626">
        <w:rPr>
          <w:rFonts w:ascii="Symbol" w:hAnsi="Symbol"/>
          <w:lang w:val="en-AU"/>
        </w:rPr>
        <w:t></w:t>
      </w:r>
      <w:r w:rsidRPr="00233626">
        <w:rPr>
          <w:lang w:val="en-AU"/>
        </w:rPr>
        <w:t> </w:t>
      </w:r>
      <w:r w:rsidRPr="00233626">
        <w:rPr>
          <w:rFonts w:ascii="Symbol" w:hAnsi="Symbol"/>
        </w:rPr>
        <w:sym w:font="Symbol" w:char="F0A3"/>
      </w:r>
      <w:r w:rsidRPr="00233626">
        <w:rPr>
          <w:lang w:val="en-AU"/>
        </w:rPr>
        <w:t> </w:t>
      </w:r>
      <w:r w:rsidRPr="00233626">
        <w:rPr>
          <w:rFonts w:ascii="Symbol" w:hAnsi="Symbol"/>
        </w:rPr>
        <w:sym w:font="Symbol" w:char="F064"/>
      </w:r>
      <w:r w:rsidRPr="00233626">
        <w:rPr>
          <w:lang w:val="en-AU"/>
        </w:rPr>
        <w:t> </w:t>
      </w:r>
      <w:r w:rsidRPr="00233626">
        <w:rPr>
          <w:rFonts w:ascii="Symbol" w:hAnsi="Symbol"/>
        </w:rPr>
        <w:sym w:font="Symbol" w:char="F0A3"/>
      </w:r>
      <w:r w:rsidRPr="00233626">
        <w:rPr>
          <w:lang w:val="en-AU"/>
        </w:rPr>
        <w:t> </w:t>
      </w:r>
      <w:r w:rsidRPr="00233626">
        <w:rPr>
          <w:rFonts w:ascii="Symbol" w:hAnsi="Symbol"/>
          <w:lang w:val="en-AU"/>
        </w:rPr>
        <w:t></w:t>
      </w:r>
      <w:r w:rsidRPr="00233626">
        <w:rPr>
          <w:rFonts w:ascii="Symbol" w:hAnsi="Symbol"/>
          <w:lang w:val="en-AU"/>
        </w:rPr>
        <w:t></w:t>
      </w:r>
      <w:r w:rsidRPr="00233626">
        <w:rPr>
          <w:rFonts w:ascii="Symbol" w:hAnsi="Symbol"/>
          <w:lang w:val="en-AU"/>
        </w:rPr>
        <w:t></w:t>
      </w:r>
      <w:r w:rsidRPr="00233626">
        <w:rPr>
          <w:lang w:val="en-AU"/>
        </w:rPr>
        <w:t xml:space="preserve">, where </w:t>
      </w:r>
      <w:r w:rsidRPr="00233626">
        <w:rPr>
          <w:rFonts w:ascii="Symbol" w:hAnsi="Symbol"/>
        </w:rPr>
        <w:sym w:font="Symbol" w:char="F064"/>
      </w:r>
      <w:r w:rsidRPr="00233626">
        <w:rPr>
          <w:lang w:val="en-AU"/>
        </w:rPr>
        <w:t xml:space="preserve"> is the angle of arrival of the radio-frequency wave and the reference bandwidth is 4 kHz. </w:t>
      </w:r>
      <w:del w:id="17" w:author="Feldhake, Glenn S. (GRC-MSC0)" w:date="2015-07-16T13:58:00Z">
        <w:r w:rsidRPr="00233626" w:rsidDel="00EC26A7">
          <w:rPr>
            <w:lang w:val="en-AU"/>
          </w:rPr>
          <w:delText xml:space="preserve">No. </w:delText>
        </w:r>
        <w:r w:rsidRPr="00233626" w:rsidDel="00EC26A7">
          <w:rPr>
            <w:rStyle w:val="Artref"/>
            <w:b/>
            <w:bCs/>
          </w:rPr>
          <w:delText>4.10</w:delText>
        </w:r>
        <w:r w:rsidRPr="00233626" w:rsidDel="00EC26A7">
          <w:rPr>
            <w:lang w:val="en-AU"/>
          </w:rPr>
          <w:delText xml:space="preserve"> does not apply to extra-vehicular activities. </w:delText>
        </w:r>
      </w:del>
      <w:r w:rsidRPr="00233626">
        <w:rPr>
          <w:lang w:val="en-AU"/>
        </w:rPr>
        <w:t>In this frequency band the space research (space-to-space) service shall not claim protection from, nor constrain the use and development of, stations of the fixed and mobile services</w:t>
      </w:r>
      <w:r w:rsidRPr="00233626">
        <w:rPr>
          <w:sz w:val="16"/>
        </w:rPr>
        <w:t>.</w:t>
      </w:r>
      <w:ins w:id="18" w:author="Feldhake, Glenn S. (GRC-MSC0)" w:date="2015-07-16T13:58:00Z">
        <w:r w:rsidR="00EC26A7" w:rsidRPr="00233626">
          <w:rPr>
            <w:szCs w:val="24"/>
            <w:rPrChange w:id="19" w:author="Feldhake, Glenn S. (GRC-MSC0)" w:date="2015-07-16T13:58:00Z">
              <w:rPr>
                <w:sz w:val="16"/>
              </w:rPr>
            </w:rPrChange>
          </w:rPr>
          <w:t xml:space="preserve">  No. 4.10 does not apply.</w:t>
        </w:r>
      </w:ins>
      <w:r w:rsidRPr="00233626">
        <w:rPr>
          <w:sz w:val="16"/>
        </w:rPr>
        <w:t>     (WRC-97)</w:t>
      </w:r>
    </w:p>
    <w:p w:rsidR="00EC26A7" w:rsidRPr="00233626" w:rsidRDefault="00BD3AD6" w:rsidP="00EC26A7">
      <w:pPr>
        <w:jc w:val="both"/>
        <w:rPr>
          <w:szCs w:val="22"/>
        </w:rPr>
      </w:pPr>
      <w:r w:rsidRPr="00233626">
        <w:rPr>
          <w:b/>
        </w:rPr>
        <w:t>Reasons:</w:t>
      </w:r>
      <w:r w:rsidRPr="00233626">
        <w:tab/>
      </w:r>
      <w:r w:rsidR="00EC26A7" w:rsidRPr="00233626">
        <w:rPr>
          <w:szCs w:val="22"/>
        </w:rPr>
        <w:t>Modify No.</w:t>
      </w:r>
      <w:r w:rsidR="00EC26A7" w:rsidRPr="00233626">
        <w:rPr>
          <w:b/>
          <w:szCs w:val="22"/>
        </w:rPr>
        <w:t xml:space="preserve"> 5.268 </w:t>
      </w:r>
      <w:r w:rsidR="00EC26A7" w:rsidRPr="00233626">
        <w:rPr>
          <w:szCs w:val="22"/>
        </w:rPr>
        <w:t xml:space="preserve">to remove both the 5 km distance limitation and restriction to EVA operation while maintaining the </w:t>
      </w:r>
      <w:proofErr w:type="spellStart"/>
      <w:r w:rsidR="00EC26A7" w:rsidRPr="00233626">
        <w:rPr>
          <w:szCs w:val="22"/>
        </w:rPr>
        <w:t>pfd</w:t>
      </w:r>
      <w:proofErr w:type="spellEnd"/>
      <w:r w:rsidR="00EC26A7" w:rsidRPr="00233626">
        <w:rPr>
          <w:szCs w:val="22"/>
        </w:rPr>
        <w:t xml:space="preserve"> limits to protect the terrestrial services.</w:t>
      </w:r>
    </w:p>
    <w:p w:rsidR="006C397C" w:rsidRPr="00233626" w:rsidRDefault="006C397C">
      <w:pPr>
        <w:pStyle w:val="Reasons"/>
      </w:pPr>
    </w:p>
    <w:p w:rsidR="006C397C" w:rsidRPr="00233626" w:rsidRDefault="00BD3AD6">
      <w:pPr>
        <w:pStyle w:val="Proposal"/>
      </w:pPr>
      <w:r w:rsidRPr="00233626">
        <w:t>SUP</w:t>
      </w:r>
      <w:r w:rsidRPr="00233626">
        <w:tab/>
        <w:t>IAP/</w:t>
      </w:r>
      <w:r w:rsidR="00464575">
        <w:t>7</w:t>
      </w:r>
      <w:r w:rsidRPr="00233626">
        <w:t>A13/2</w:t>
      </w:r>
    </w:p>
    <w:p w:rsidR="003638D8" w:rsidRPr="00233626" w:rsidRDefault="00BD3AD6" w:rsidP="003638D8">
      <w:pPr>
        <w:pStyle w:val="ResNo"/>
      </w:pPr>
      <w:r w:rsidRPr="00233626">
        <w:t xml:space="preserve">RESOLUTION </w:t>
      </w:r>
      <w:r w:rsidRPr="00233626">
        <w:rPr>
          <w:rStyle w:val="href"/>
        </w:rPr>
        <w:t>652</w:t>
      </w:r>
      <w:r w:rsidRPr="00233626">
        <w:t xml:space="preserve"> (WRC</w:t>
      </w:r>
      <w:r w:rsidRPr="00233626">
        <w:noBreakHyphen/>
        <w:t>12)</w:t>
      </w:r>
    </w:p>
    <w:p w:rsidR="003638D8" w:rsidRPr="00233626" w:rsidRDefault="00BD3AD6" w:rsidP="00114582">
      <w:pPr>
        <w:pStyle w:val="Restitle"/>
      </w:pPr>
      <w:bookmarkStart w:id="20" w:name="_Toc327364535"/>
      <w:r w:rsidRPr="00233626">
        <w:t>Use of the band 410-420 MHz by the space research service (space-to-space)</w:t>
      </w:r>
      <w:bookmarkEnd w:id="20"/>
    </w:p>
    <w:p w:rsidR="00464575" w:rsidRDefault="00464575" w:rsidP="00EC26A7">
      <w:pPr>
        <w:rPr>
          <w:b/>
          <w:szCs w:val="24"/>
        </w:rPr>
      </w:pPr>
    </w:p>
    <w:p w:rsidR="00EC26A7" w:rsidRPr="00EC26A7" w:rsidRDefault="00BD3AD6" w:rsidP="00EC26A7">
      <w:pPr>
        <w:rPr>
          <w:szCs w:val="24"/>
        </w:rPr>
      </w:pPr>
      <w:bookmarkStart w:id="21" w:name="_GoBack"/>
      <w:bookmarkEnd w:id="21"/>
      <w:r w:rsidRPr="00233626">
        <w:rPr>
          <w:b/>
          <w:szCs w:val="24"/>
        </w:rPr>
        <w:t>Reasons:</w:t>
      </w:r>
      <w:r w:rsidRPr="00233626">
        <w:rPr>
          <w:szCs w:val="24"/>
        </w:rPr>
        <w:tab/>
      </w:r>
      <w:r w:rsidR="00EC26A7" w:rsidRPr="00233626">
        <w:rPr>
          <w:szCs w:val="24"/>
        </w:rPr>
        <w:t>ITU-R Working Party 7B completed required studies and this resolution is no longer needed.</w:t>
      </w:r>
    </w:p>
    <w:p w:rsidR="006C397C" w:rsidRDefault="006C397C">
      <w:pPr>
        <w:pStyle w:val="Reasons"/>
      </w:pPr>
    </w:p>
    <w:sectPr w:rsidR="006C397C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30" w:rsidRDefault="00931F30">
      <w:r>
        <w:separator/>
      </w:r>
    </w:p>
  </w:endnote>
  <w:endnote w:type="continuationSeparator" w:id="0">
    <w:p w:rsidR="00931F30" w:rsidRDefault="0093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4575">
      <w:rPr>
        <w:noProof/>
      </w:rPr>
      <w:t>18.08.15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4575">
      <w:t>18.08.15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64575">
      <w:t>18.08.15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30" w:rsidRDefault="00931F30">
      <w:r>
        <w:rPr>
          <w:b/>
        </w:rPr>
        <w:t>_______________</w:t>
      </w:r>
    </w:p>
  </w:footnote>
  <w:footnote w:type="continuationSeparator" w:id="0">
    <w:p w:rsidR="00931F30" w:rsidRDefault="00931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64575">
      <w:rPr>
        <w:noProof/>
      </w:rPr>
      <w:t>3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22" w:name="OLE_LINK1"/>
    <w:bookmarkStart w:id="23" w:name="OLE_LINK2"/>
    <w:bookmarkStart w:id="24" w:name="OLE_LINK3"/>
    <w:bookmarkEnd w:id="22"/>
    <w:bookmarkEnd w:id="23"/>
    <w:bookmarkEnd w:id="24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ldhake, Glenn S. (GRC-MSC0)">
    <w15:presenceInfo w15:providerId="AD" w15:userId="S-1-5-21-330711430-3775241029-4075259233-125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intFractionalCharacterWidth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33626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64575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C397C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1F30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3A95"/>
    <w:rsid w:val="00BD3AD6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3DF6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C26A7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5f45a78-2a57-4e3a-8f35-d14530e19825">6V3PZHU2UA6J-360-1250</_dlc_DocId>
    <_dlc_DocIdUrl xmlns="e5f45a78-2a57-4e3a-8f35-d14530e19825">
      <Url>https://www.citel.oas.org/en/collaborative/pccii/26_CAN_15/_layouts/DocIdRedir.aspx?ID=6V3PZHU2UA6J-360-1250</Url>
      <Description>6V3PZHU2UA6J-360-1250</Description>
    </_dlc_DocIdUrl>
    <Agenda xmlns="e922daad-afb5-47f2-ab72-43d4d420a50d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0A7CE321F1A47AB82AC7605221C33" ma:contentTypeVersion="20" ma:contentTypeDescription="Create a new document." ma:contentTypeScope="" ma:versionID="fba4fb9e64237cbf1818de050cdd293d">
  <xsd:schema xmlns:xsd="http://www.w3.org/2001/XMLSchema" xmlns:xs="http://www.w3.org/2001/XMLSchema" xmlns:p="http://schemas.microsoft.com/office/2006/metadata/properties" xmlns:ns2="e5f45a78-2a57-4e3a-8f35-d14530e19825" xmlns:ns3="e922daad-afb5-47f2-ab72-43d4d420a50d" targetNamespace="http://schemas.microsoft.com/office/2006/metadata/properties" ma:root="true" ma:fieldsID="c960dce84277e6ba7c7f67dd5d0e72ad" ns2:_="" ns3:_="">
    <xsd:import namespace="e5f45a78-2a57-4e3a-8f35-d14530e19825"/>
    <xsd:import namespace="e922daad-afb5-47f2-ab72-43d4d420a5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45a78-2a57-4e3a-8f35-d14530e198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daad-afb5-47f2-ab72-43d4d420a50d" elementFormDefault="qualified">
    <xsd:import namespace="http://schemas.microsoft.com/office/2006/documentManagement/types"/>
    <xsd:import namespace="http://schemas.microsoft.com/office/infopath/2007/PartnerControls"/>
    <xsd:element name="Agenda" ma:index="12" nillable="true" ma:displayName="Item on the Agenda - Punto del Temario" ma:internalName="Agend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- Título"/>
        <xsd:element ref="dc:subject" minOccurs="0" maxOccurs="1"/>
        <xsd:element ref="dc:description" minOccurs="0" maxOccurs="1" ma:index="11" ma:displayName="Comments - Comentario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33B7-71E7-4CA5-907B-878AF61D8ADC}">
  <ds:schemaRefs>
    <ds:schemaRef ds:uri="http://schemas.microsoft.com/office/2006/metadata/properties"/>
    <ds:schemaRef ds:uri="http://schemas.microsoft.com/office/infopath/2007/PartnerControls"/>
    <ds:schemaRef ds:uri="e5f45a78-2a57-4e3a-8f35-d14530e19825"/>
    <ds:schemaRef ds:uri="e922daad-afb5-47f2-ab72-43d4d420a50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927C4-E906-4629-8A07-9597A30F7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45a78-2a57-4e3a-8f35-d14530e19825"/>
    <ds:schemaRef ds:uri="e922daad-afb5-47f2-ab72-43d4d420a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EA0971-DB0F-42C7-A963-443B4ADD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R15-WRC15-C-4478!A13!MSW-E</vt:lpstr>
    </vt:vector>
  </TitlesOfParts>
  <Manager>General Secretariat - Pool</Manager>
  <Company>International Telecommunication Union (ITU)</Company>
  <LinksUpToDate>false</LinksUpToDate>
  <CharactersWithSpaces>4166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R15-WRC15-C-4478!A13!MSW-E</dc:title>
  <dc:subject>World Radiocommunication Conference - 2015</dc:subject>
  <dc:creator>Conference Proposals Interface (CPI)</dc:creator>
  <cp:keywords>CPI_5.2015.6.24</cp:keywords>
  <dc:description>Uploaded on 2015.07.06</dc:description>
  <cp:lastModifiedBy>CITEL</cp:lastModifiedBy>
  <cp:revision>3</cp:revision>
  <cp:lastPrinted>2014-02-10T09:49:00Z</cp:lastPrinted>
  <dcterms:created xsi:type="dcterms:W3CDTF">2015-08-18T13:50:00Z</dcterms:created>
  <dcterms:modified xsi:type="dcterms:W3CDTF">2015-08-31T22:27:00Z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0x0101008F80A7CE321F1A47AB82AC7605221C33</vt:lpwstr>
  </property>
  <property fmtid="{D5CDD505-2E9C-101B-9397-08002B2CF9AE}" pid="10" name="_dlc_DocIdItemGuid">
    <vt:lpwstr>a7e5fe2b-2e05-4f87-92b4-2ad5f452a62f</vt:lpwstr>
  </property>
</Properties>
</file>