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CF064" w14:textId="7CF8DC95" w:rsidR="00103016" w:rsidRPr="00B60E12" w:rsidRDefault="00103016" w:rsidP="00B60E12">
      <w:pPr>
        <w:pStyle w:val="Heading1"/>
      </w:pPr>
      <w:r w:rsidRPr="00B60E12">
        <w:t>Stakeholder Issue No</w:t>
      </w:r>
      <w:r w:rsidR="009E7FC0">
        <w:t>s</w:t>
      </w:r>
      <w:r w:rsidRPr="00B60E12">
        <w:t>. 11</w:t>
      </w:r>
      <w:r w:rsidR="00A07EA3">
        <w:t>(b)</w:t>
      </w:r>
      <w:r w:rsidR="009E7FC0">
        <w:t xml:space="preserve"> and 11A</w:t>
      </w:r>
    </w:p>
    <w:p w14:paraId="51E135FC" w14:textId="702F5FE4" w:rsidR="00880566" w:rsidRPr="00103016" w:rsidRDefault="00880566" w:rsidP="00B60E12">
      <w:pPr>
        <w:pStyle w:val="Heading2"/>
      </w:pPr>
      <w:r w:rsidRPr="00103016">
        <w:t>Should the code define Secure Storage of Information? Should context matter and, if so, how?</w:t>
      </w:r>
    </w:p>
    <w:p w14:paraId="1A8C38F2" w14:textId="3288EA78" w:rsidR="00C34A12" w:rsidRDefault="00BC7119" w:rsidP="003254F3">
      <w:pPr>
        <w:spacing w:after="120"/>
      </w:pPr>
      <w:r w:rsidRPr="00103016">
        <w:rPr>
          <w:b/>
        </w:rPr>
        <w:t xml:space="preserve"> </w:t>
      </w:r>
      <w:r w:rsidR="00CA610F">
        <w:t>“</w:t>
      </w:r>
      <w:r>
        <w:t>P</w:t>
      </w:r>
      <w:r w:rsidRPr="00BC7119">
        <w:t xml:space="preserve">arties to </w:t>
      </w:r>
      <w:r>
        <w:t xml:space="preserve">this </w:t>
      </w:r>
      <w:r w:rsidRPr="00BC7119">
        <w:t>Code of Conduct shoul</w:t>
      </w:r>
      <w:r>
        <w:t xml:space="preserve">d use </w:t>
      </w:r>
      <w:r w:rsidR="00880566" w:rsidRPr="00880566">
        <w:t>commercially reasonable measures to secure</w:t>
      </w:r>
      <w:r w:rsidR="003254F3" w:rsidRPr="003254F3">
        <w:t xml:space="preserve"> </w:t>
      </w:r>
      <w:r w:rsidR="003254F3">
        <w:t>facial template</w:t>
      </w:r>
      <w:r w:rsidR="00880566" w:rsidRPr="00880566">
        <w:t xml:space="preserve"> information.</w:t>
      </w:r>
      <w:r w:rsidR="00CA610F">
        <w:t>”</w:t>
      </w:r>
      <w:r w:rsidR="00C34A12">
        <w:rPr>
          <w:rStyle w:val="FootnoteReference"/>
        </w:rPr>
        <w:footnoteReference w:id="1"/>
      </w:r>
    </w:p>
    <w:p w14:paraId="10716E1D" w14:textId="78C7D155" w:rsidR="00C34A12" w:rsidRPr="00B60E12" w:rsidRDefault="00C34A12" w:rsidP="00B60E12">
      <w:pPr>
        <w:pStyle w:val="Heading2"/>
      </w:pPr>
      <w:r w:rsidRPr="00B60E12">
        <w:t>How should the code address transmission of Facial Recognition Data?</w:t>
      </w:r>
    </w:p>
    <w:p w14:paraId="6A9A0BF9" w14:textId="77777777" w:rsidR="00C34A12" w:rsidRDefault="00C34A12" w:rsidP="00880566">
      <w:pPr>
        <w:spacing w:after="120"/>
      </w:pPr>
      <w:r>
        <w:t xml:space="preserve">Should the code address security of Facial Recognition Data in transmission </w:t>
      </w:r>
      <w:proofErr w:type="spellStart"/>
      <w:r>
        <w:t>and</w:t>
      </w:r>
      <w:proofErr w:type="gramStart"/>
      <w:r>
        <w:t>,if</w:t>
      </w:r>
      <w:proofErr w:type="spellEnd"/>
      <w:proofErr w:type="gramEnd"/>
      <w:r>
        <w:t xml:space="preserve"> so, how? Do recognized technical standards exist that pertain to transmission?</w:t>
      </w:r>
    </w:p>
    <w:p w14:paraId="32CA4D90" w14:textId="3E567E8E" w:rsidR="00C34A12" w:rsidRDefault="00C34A12" w:rsidP="00B60E12">
      <w:pPr>
        <w:spacing w:after="120"/>
      </w:pPr>
      <w:r>
        <w:rPr>
          <w:b/>
        </w:rPr>
        <w:t xml:space="preserve">[Option A] </w:t>
      </w:r>
      <w:r>
        <w:t>“</w:t>
      </w:r>
      <w:r w:rsidR="00982466">
        <w:t>W</w:t>
      </w:r>
      <w:r w:rsidR="00982466" w:rsidRPr="00880566">
        <w:t>hen storing information contained in a face recognition system</w:t>
      </w:r>
      <w:r w:rsidR="00982466">
        <w:t xml:space="preserve"> p</w:t>
      </w:r>
      <w:r w:rsidRPr="00BC7119">
        <w:t xml:space="preserve">arties to </w:t>
      </w:r>
      <w:r>
        <w:t xml:space="preserve">this </w:t>
      </w:r>
      <w:r w:rsidRPr="00BC7119">
        <w:t xml:space="preserve">Code of Conduct </w:t>
      </w:r>
      <w:r w:rsidRPr="00880566">
        <w:t>using facial recognition must use commercially reasonable measures to protect against such risks as loss or unauthorized access, destruction, use, modification or disclosure of this data</w:t>
      </w:r>
      <w:r>
        <w:t>”</w:t>
      </w:r>
      <w:r>
        <w:rPr>
          <w:rStyle w:val="FootnoteReference"/>
        </w:rPr>
        <w:footnoteReference w:id="2"/>
      </w:r>
    </w:p>
    <w:p w14:paraId="160E5BB1" w14:textId="7C219428" w:rsidR="00C34A12" w:rsidRDefault="00C34A12" w:rsidP="00B60E12">
      <w:pPr>
        <w:spacing w:after="120"/>
      </w:pPr>
      <w:r>
        <w:rPr>
          <w:b/>
        </w:rPr>
        <w:t>[Option B]</w:t>
      </w:r>
      <w:r>
        <w:t xml:space="preserve"> “P</w:t>
      </w:r>
      <w:r w:rsidRPr="00BC7119">
        <w:t xml:space="preserve">arties to </w:t>
      </w:r>
      <w:r>
        <w:t xml:space="preserve">this </w:t>
      </w:r>
      <w:r w:rsidRPr="00BC7119">
        <w:t xml:space="preserve">Code of Conduct </w:t>
      </w:r>
      <w:r w:rsidRPr="00880566">
        <w:t xml:space="preserve">using facial recognition </w:t>
      </w:r>
      <w:r>
        <w:t xml:space="preserve">use encryption in-transit for any transmission of facial recognition data. If it is happening over a network, it should use Transport Layer Security with a sufficient cryptographic cypher suite and key size to protect that information for many years. If the data is not being transmitted over a network, such as via a USB or hard drive, it should be encrypted at rest using good using a FIPS 140-2 level 1 or higher validated cryptographic module. Facial recognition </w:t>
      </w:r>
      <w:r w:rsidRPr="000A0076">
        <w:t>information with an expected lifetime beyond 2030 shall be protected using cryptographic techniques with a minimum of 128 bits of security</w:t>
      </w:r>
      <w:r>
        <w:t>”</w:t>
      </w:r>
      <w:r w:rsidRPr="00880566">
        <w:t>, to protect against such risks as unauthorized access or disclosure of this data</w:t>
      </w:r>
      <w:r>
        <w:rPr>
          <w:rStyle w:val="FootnoteReference"/>
        </w:rPr>
        <w:footnoteReference w:id="3"/>
      </w:r>
    </w:p>
    <w:p w14:paraId="72463930" w14:textId="77777777" w:rsidR="00C34A12" w:rsidRDefault="00C34A12" w:rsidP="00880566">
      <w:pPr>
        <w:spacing w:after="120"/>
        <w:rPr>
          <w:b/>
        </w:rPr>
        <w:sectPr w:rsidR="00C34A12" w:rsidSect="00C83EC5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C8928AD" w14:textId="74E0A1BD" w:rsidR="00C34A12" w:rsidRPr="00B60E12" w:rsidRDefault="00C34A12" w:rsidP="00B60E12">
      <w:pPr>
        <w:pStyle w:val="Heading1"/>
      </w:pPr>
      <w:r w:rsidRPr="00B60E12">
        <w:lastRenderedPageBreak/>
        <w:t>Stakeholder Issue No. 1</w:t>
      </w:r>
      <w:r>
        <w:t>2</w:t>
      </w:r>
    </w:p>
    <w:p w14:paraId="3FE048A1" w14:textId="3CDD37AB" w:rsidR="00C34A12" w:rsidRPr="00FD0EF5" w:rsidRDefault="00C34A12" w:rsidP="00B60E12">
      <w:pPr>
        <w:pStyle w:val="Heading2"/>
      </w:pPr>
      <w:r w:rsidRPr="00FD0EF5">
        <w:t>Risk: Security: commercial facial recognition data could be subject to data breaches that result in sensitive biometrics being revealed to unauthorized entities; insufficient security procedures could result in biometric identity theft.</w:t>
      </w:r>
    </w:p>
    <w:p w14:paraId="6594C856" w14:textId="77777777" w:rsidR="00C34A12" w:rsidRPr="00B60E12" w:rsidRDefault="00C34A12" w:rsidP="00336151">
      <w:pPr>
        <w:pStyle w:val="Heading3"/>
      </w:pPr>
      <w:r w:rsidRPr="00B60E12">
        <w:t xml:space="preserve">Which entities would be best situated to </w:t>
      </w:r>
      <w:r w:rsidRPr="00C34A12">
        <w:t>provide</w:t>
      </w:r>
      <w:r w:rsidRPr="00B60E12">
        <w:t xml:space="preserve"> for </w:t>
      </w:r>
      <w:r w:rsidRPr="00C34A12">
        <w:t>security</w:t>
      </w:r>
      <w:r w:rsidRPr="00B60E12">
        <w:t>?</w:t>
      </w:r>
    </w:p>
    <w:p w14:paraId="17D67F16" w14:textId="5F1D3EF0" w:rsidR="00C34A12" w:rsidRDefault="00C34A12" w:rsidP="00B60E12">
      <w:pPr>
        <w:spacing w:after="120"/>
      </w:pPr>
      <w:r>
        <w:t xml:space="preserve">This document should apply to </w:t>
      </w:r>
      <w:r w:rsidRPr="00880566">
        <w:t>all uses of facial recognition and facial detection technology</w:t>
      </w:r>
      <w:r w:rsidR="00DC0C72">
        <w:t xml:space="preserve"> regardless of medium</w:t>
      </w:r>
      <w:r w:rsidRPr="00880566">
        <w:t>.</w:t>
      </w:r>
    </w:p>
    <w:p w14:paraId="1AD61B6D" w14:textId="77777777" w:rsidR="00C34A12" w:rsidRPr="00B60E12" w:rsidRDefault="00C34A12" w:rsidP="00336151">
      <w:pPr>
        <w:pStyle w:val="Heading3"/>
      </w:pPr>
      <w:r w:rsidRPr="00B60E12">
        <w:t>What data should be subject to security obligations in the code?</w:t>
      </w:r>
    </w:p>
    <w:p w14:paraId="31E1A16E" w14:textId="1DF4EACC" w:rsidR="00C34A12" w:rsidRDefault="00C34A12" w:rsidP="00B60E12">
      <w:pPr>
        <w:spacing w:after="120"/>
      </w:pPr>
      <w:r>
        <w:rPr>
          <w:b/>
        </w:rPr>
        <w:t xml:space="preserve">[Option A] </w:t>
      </w:r>
      <w:r>
        <w:t>“</w:t>
      </w:r>
      <w:r w:rsidR="00503E6E">
        <w:t xml:space="preserve">Parties </w:t>
      </w:r>
      <w:r w:rsidRPr="00BC7119">
        <w:t xml:space="preserve">to </w:t>
      </w:r>
      <w:r>
        <w:t xml:space="preserve">this </w:t>
      </w:r>
      <w:r w:rsidRPr="00BC7119">
        <w:t xml:space="preserve">Code of Conduct </w:t>
      </w:r>
      <w:r>
        <w:t xml:space="preserve">should use </w:t>
      </w:r>
      <w:r w:rsidRPr="00880566">
        <w:t xml:space="preserve">appropriate </w:t>
      </w:r>
      <w:r>
        <w:t xml:space="preserve">security </w:t>
      </w:r>
      <w:r w:rsidRPr="00880566">
        <w:t xml:space="preserve">for the context of </w:t>
      </w:r>
      <w:r>
        <w:t xml:space="preserve">party’s </w:t>
      </w:r>
      <w:r w:rsidRPr="00880566">
        <w:t>relationship with consumers.</w:t>
      </w:r>
      <w:r>
        <w:t>”</w:t>
      </w:r>
      <w:r>
        <w:rPr>
          <w:rStyle w:val="FootnoteReference"/>
        </w:rPr>
        <w:footnoteReference w:id="4"/>
      </w:r>
    </w:p>
    <w:p w14:paraId="22E6F36D" w14:textId="0EF8FB36" w:rsidR="00C34A12" w:rsidRPr="00B60E12" w:rsidRDefault="00C34A12" w:rsidP="00B60E12">
      <w:pPr>
        <w:spacing w:after="120"/>
      </w:pPr>
      <w:r>
        <w:rPr>
          <w:b/>
        </w:rPr>
        <w:t>[Option B]</w:t>
      </w:r>
      <w:r>
        <w:t xml:space="preserve"> “The security obligations for p</w:t>
      </w:r>
      <w:r w:rsidRPr="00BC7119">
        <w:t xml:space="preserve">arties to </w:t>
      </w:r>
      <w:r>
        <w:t xml:space="preserve">this </w:t>
      </w:r>
      <w:r w:rsidRPr="00BC7119">
        <w:t xml:space="preserve">Code of Conduct </w:t>
      </w:r>
      <w:r>
        <w:t>should use the security standards described above for all biometric data, regardless of context.”</w:t>
      </w:r>
      <w:r>
        <w:rPr>
          <w:rStyle w:val="FootnoteReference"/>
        </w:rPr>
        <w:footnoteReference w:id="5"/>
      </w:r>
    </w:p>
    <w:p w14:paraId="11155360" w14:textId="77777777" w:rsidR="00C34A12" w:rsidRPr="00B60E12" w:rsidRDefault="00C34A12" w:rsidP="00336151">
      <w:pPr>
        <w:pStyle w:val="Heading3"/>
      </w:pPr>
      <w:r w:rsidRPr="00B60E12">
        <w:t xml:space="preserve">Most states currently have breach </w:t>
      </w:r>
      <w:r w:rsidRPr="00336151">
        <w:t>notification</w:t>
      </w:r>
      <w:r w:rsidRPr="00B60E12">
        <w:t xml:space="preserve"> laws. Should the code impose additional data breach notification obligations (not otherwise subject to state law)?</w:t>
      </w:r>
    </w:p>
    <w:p w14:paraId="7A2C34E1" w14:textId="5CBD4898" w:rsidR="00C34A12" w:rsidRDefault="00C34A12" w:rsidP="00B60E12">
      <w:pPr>
        <w:spacing w:after="120"/>
      </w:pPr>
      <w:r>
        <w:rPr>
          <w:b/>
        </w:rPr>
        <w:t>[Option A]</w:t>
      </w:r>
      <w:r>
        <w:t xml:space="preserve"> No additional language needed as 47 state</w:t>
      </w:r>
      <w:r w:rsidR="00DC0C72">
        <w:t xml:space="preserve"> data breach laws already cover</w:t>
      </w:r>
      <w:r>
        <w:t xml:space="preserve"> </w:t>
      </w:r>
      <w:r w:rsidR="00DC0C72">
        <w:t xml:space="preserve">unauthorized </w:t>
      </w:r>
      <w:r w:rsidR="00DC0C72" w:rsidRPr="00DC0C72">
        <w:t>acquisition</w:t>
      </w:r>
      <w:r>
        <w:t xml:space="preserve"> of PII.  And regardless of whether an entity adopts the guidelines or not, these state laws apply.  Finally, when the federal government passes a national data breach standard, this section </w:t>
      </w:r>
      <w:r w:rsidR="00DC0C72">
        <w:t>can create confusing or conflicting obligations for parties to the guidelines</w:t>
      </w:r>
      <w:r>
        <w:t>.</w:t>
      </w:r>
    </w:p>
    <w:p w14:paraId="17E43AF0" w14:textId="011AA91E" w:rsidR="00C34A12" w:rsidRPr="00B60E12" w:rsidRDefault="00C34A12" w:rsidP="00B60E12">
      <w:pPr>
        <w:spacing w:after="120"/>
      </w:pPr>
      <w:r>
        <w:rPr>
          <w:b/>
        </w:rPr>
        <w:t>[Option B]</w:t>
      </w:r>
      <w:r>
        <w:t xml:space="preserve"> </w:t>
      </w:r>
      <w:r w:rsidRPr="00B60E12">
        <w:t xml:space="preserve">State data breach laws should be implemented when biometrics are included in the definition of PII. When biometrics </w:t>
      </w:r>
      <w:proofErr w:type="gramStart"/>
      <w:r w:rsidRPr="00B60E12">
        <w:t>are</w:t>
      </w:r>
      <w:proofErr w:type="gramEnd"/>
      <w:r w:rsidRPr="00B60E12">
        <w:t xml:space="preserve"> not addressed, companies should append their obligations to include “an individual’s unique biometric data [includes] fingerprint, voice print, retina or iris image, or any other unique physical representation.”</w:t>
      </w:r>
      <w:r>
        <w:rPr>
          <w:rStyle w:val="FootnoteReference"/>
        </w:rPr>
        <w:footnoteReference w:id="6"/>
      </w:r>
    </w:p>
    <w:p w14:paraId="0CF5A5FC" w14:textId="77777777" w:rsidR="00C34A12" w:rsidRPr="00B60E12" w:rsidRDefault="00C34A12" w:rsidP="00336151">
      <w:pPr>
        <w:pStyle w:val="Heading3"/>
      </w:pPr>
      <w:r w:rsidRPr="00B60E12">
        <w:t>Are there contexts in which the code should require encryption of Facial Recognition Data?</w:t>
      </w:r>
    </w:p>
    <w:p w14:paraId="0DC245F5" w14:textId="77777777" w:rsidR="00C34A12" w:rsidRDefault="00C34A12" w:rsidP="00B60E12">
      <w:pPr>
        <w:spacing w:after="120"/>
      </w:pPr>
      <w:r w:rsidRPr="00B60E12">
        <w:rPr>
          <w:b/>
        </w:rPr>
        <w:t xml:space="preserve">[Option A] </w:t>
      </w:r>
      <w:r w:rsidRPr="00DC0C72">
        <w:t>“Encryption</w:t>
      </w:r>
      <w:r>
        <w:t xml:space="preserve"> </w:t>
      </w:r>
      <w:r w:rsidRPr="00880566">
        <w:t xml:space="preserve">obligations should be appropriate for the context of </w:t>
      </w:r>
      <w:r>
        <w:t xml:space="preserve">the party’s </w:t>
      </w:r>
      <w:r w:rsidRPr="00880566">
        <w:t>relationship with consumers</w:t>
      </w:r>
      <w:r>
        <w:t>”</w:t>
      </w:r>
    </w:p>
    <w:p w14:paraId="2D70D445" w14:textId="4CB20E3C" w:rsidR="00C34A12" w:rsidRPr="00B60E12" w:rsidRDefault="00C34A12" w:rsidP="00B60E12">
      <w:pPr>
        <w:spacing w:after="120"/>
      </w:pPr>
      <w:r>
        <w:rPr>
          <w:b/>
        </w:rPr>
        <w:t>[Option B]</w:t>
      </w:r>
      <w:r>
        <w:t xml:space="preserve"> “Biometric data should be encrypted at rest and in transit, with strong encryption intended to protect that information for at least 15-20 years”</w:t>
      </w:r>
      <w:r>
        <w:rPr>
          <w:rStyle w:val="FootnoteReference"/>
        </w:rPr>
        <w:footnoteReference w:id="7"/>
      </w:r>
    </w:p>
    <w:p w14:paraId="350B214A" w14:textId="72BE763E" w:rsidR="00C34A12" w:rsidRPr="00336151" w:rsidRDefault="00C34A12" w:rsidP="00336151">
      <w:pPr>
        <w:pStyle w:val="Heading3"/>
      </w:pPr>
      <w:r w:rsidRPr="00336151">
        <w:lastRenderedPageBreak/>
        <w:t xml:space="preserve">Should the code distinguish between unencrypted data and those that are </w:t>
      </w:r>
      <w:proofErr w:type="gramStart"/>
      <w:r w:rsidRPr="00336151">
        <w:t>Encrypted</w:t>
      </w:r>
      <w:proofErr w:type="gramEnd"/>
      <w:r w:rsidRPr="00336151">
        <w:t>? Could the code do so by establishing a “material risk of harm” threshold for notice, where a “material risk of harm” would arise when unencrypted templates are revealed to unauthorized entitie</w:t>
      </w:r>
      <w:bookmarkStart w:id="0" w:name="_GoBack"/>
      <w:bookmarkEnd w:id="0"/>
      <w:r w:rsidRPr="00336151">
        <w:t>s?</w:t>
      </w:r>
    </w:p>
    <w:p w14:paraId="45520BB0" w14:textId="1FCCB198" w:rsidR="00C34A12" w:rsidRDefault="00C34A12" w:rsidP="00C34A12">
      <w:pPr>
        <w:spacing w:after="120"/>
      </w:pPr>
      <w:r>
        <w:t xml:space="preserve">It’s difficult to enumerate all scenarios.  Instead, it is better to make encryption </w:t>
      </w:r>
      <w:r w:rsidRPr="00880566">
        <w:t>obligations appropriate for the context of their relationship with consumers</w:t>
      </w:r>
      <w:r>
        <w:t>.  However, there can be an exception for data accessed that is encrypted</w:t>
      </w:r>
      <w:r w:rsidR="00DC0C72">
        <w:t>.</w:t>
      </w:r>
    </w:p>
    <w:p w14:paraId="1D7A3752" w14:textId="1B3FB6D8" w:rsidR="00C34A12" w:rsidRDefault="00C34A12" w:rsidP="00336151">
      <w:pPr>
        <w:pStyle w:val="Heading3"/>
      </w:pPr>
      <w:r>
        <w:t>Would treating Encrypted data as not triggering a material risk of harm provide companies with appropriate incentives to design and implement robust security protections?</w:t>
      </w:r>
    </w:p>
    <w:p w14:paraId="7041517D" w14:textId="1BAA7D9E" w:rsidR="00FD0EF5" w:rsidRDefault="00336151" w:rsidP="00C34A12">
      <w:pPr>
        <w:spacing w:after="120"/>
      </w:pPr>
      <w:r>
        <w:t>This should not constitute a data breach as m</w:t>
      </w:r>
      <w:r w:rsidR="00C34A12">
        <w:t xml:space="preserve">ost states treat </w:t>
      </w:r>
      <w:r w:rsidR="00DC0C72">
        <w:t xml:space="preserve">unauthorized </w:t>
      </w:r>
      <w:r w:rsidR="00DC0C72" w:rsidRPr="00DC0C72">
        <w:t xml:space="preserve">acquisition </w:t>
      </w:r>
      <w:r w:rsidR="00DC0C72">
        <w:t>of encrypted</w:t>
      </w:r>
      <w:r w:rsidR="00C34A12">
        <w:t xml:space="preserve"> data as not constituting a data breach.</w:t>
      </w:r>
      <w:r w:rsidR="00C34A12">
        <w:rPr>
          <w:rStyle w:val="FootnoteReference"/>
        </w:rPr>
        <w:footnoteReference w:id="8"/>
      </w:r>
      <w:r w:rsidR="00C34A12">
        <w:t xml:space="preserve"> </w:t>
      </w:r>
      <w:r w:rsidR="00FD0EF5">
        <w:t xml:space="preserve"> </w:t>
      </w:r>
      <w:r>
        <w:t xml:space="preserve">Moreover, treating </w:t>
      </w:r>
      <w:r w:rsidR="00DC0C72">
        <w:t>un</w:t>
      </w:r>
      <w:r>
        <w:t xml:space="preserve">authorized </w:t>
      </w:r>
      <w:r w:rsidR="00DC0C72" w:rsidRPr="00DC0C72">
        <w:t xml:space="preserve">acquisition </w:t>
      </w:r>
      <w:r>
        <w:t>of encrypted data could discourage incentives for encryption.</w:t>
      </w:r>
    </w:p>
    <w:sectPr w:rsidR="00FD0EF5" w:rsidSect="00C83E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B6ECE" w14:textId="77777777" w:rsidR="00DC0C72" w:rsidRDefault="00DC0C72" w:rsidP="00880566">
      <w:r>
        <w:separator/>
      </w:r>
    </w:p>
  </w:endnote>
  <w:endnote w:type="continuationSeparator" w:id="0">
    <w:p w14:paraId="12692D98" w14:textId="77777777" w:rsidR="00DC0C72" w:rsidRDefault="00DC0C72" w:rsidP="0088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8F45E" w14:textId="77777777" w:rsidR="00DC0C72" w:rsidRDefault="00DC0C72" w:rsidP="00880566">
      <w:r>
        <w:separator/>
      </w:r>
    </w:p>
  </w:footnote>
  <w:footnote w:type="continuationSeparator" w:id="0">
    <w:p w14:paraId="56382C19" w14:textId="77777777" w:rsidR="00DC0C72" w:rsidRDefault="00DC0C72" w:rsidP="00880566">
      <w:r>
        <w:continuationSeparator/>
      </w:r>
    </w:p>
  </w:footnote>
  <w:footnote w:id="1">
    <w:p w14:paraId="1BF303E3" w14:textId="0BAB4FD3" w:rsidR="00DC0C72" w:rsidRPr="00C34A12" w:rsidRDefault="00DC0C72">
      <w:pPr>
        <w:pStyle w:val="FootnoteText"/>
        <w:rPr>
          <w:rFonts w:ascii="Calibri" w:hAnsi="Calibri"/>
          <w:sz w:val="20"/>
        </w:rPr>
      </w:pPr>
      <w:r w:rsidRPr="00C34A12">
        <w:rPr>
          <w:rStyle w:val="FootnoteReference"/>
          <w:rFonts w:ascii="Calibri" w:hAnsi="Calibri"/>
          <w:sz w:val="20"/>
        </w:rPr>
        <w:footnoteRef/>
      </w:r>
      <w:r w:rsidRPr="00C34A12">
        <w:rPr>
          <w:rFonts w:ascii="Calibri" w:hAnsi="Calibri"/>
          <w:sz w:val="20"/>
        </w:rPr>
        <w:t xml:space="preserve"> Based, in part, Article 4A-202 of the Uniform Commercial Code (the “UCC”) requirements for bank transfers: “If a bank and its customer have agreed that the authenticity of payment orders . . . will be verified pursuant to a security procedure, a payment order . . . is effective as the order of the customer . . .if: (a) The </w:t>
      </w:r>
      <w:r w:rsidRPr="00C34A12">
        <w:rPr>
          <w:rFonts w:ascii="Calibri" w:hAnsi="Calibri"/>
          <w:i/>
          <w:sz w:val="20"/>
        </w:rPr>
        <w:t xml:space="preserve">security procedure is a commercially reasonable method </w:t>
      </w:r>
      <w:r w:rsidRPr="00C34A12">
        <w:rPr>
          <w:rFonts w:ascii="Calibri" w:hAnsi="Calibri"/>
          <w:sz w:val="20"/>
        </w:rPr>
        <w:t>of providing security against unauthorized payment orders;”</w:t>
      </w:r>
    </w:p>
  </w:footnote>
  <w:footnote w:id="2">
    <w:p w14:paraId="6BFDEDC9" w14:textId="7E581887" w:rsidR="00DC0C72" w:rsidRPr="00C34A12" w:rsidRDefault="00DC0C72">
      <w:pPr>
        <w:pStyle w:val="FootnoteText"/>
        <w:rPr>
          <w:rFonts w:ascii="Calibri" w:hAnsi="Calibri"/>
          <w:sz w:val="20"/>
        </w:rPr>
      </w:pPr>
      <w:r w:rsidRPr="00C34A12">
        <w:rPr>
          <w:rStyle w:val="FootnoteReference"/>
          <w:rFonts w:ascii="Calibri" w:hAnsi="Calibri"/>
          <w:sz w:val="20"/>
        </w:rPr>
        <w:footnoteRef/>
      </w:r>
      <w:r w:rsidRPr="00C34A12">
        <w:rPr>
          <w:rFonts w:ascii="Calibri" w:hAnsi="Calibri"/>
          <w:sz w:val="20"/>
        </w:rPr>
        <w:t xml:space="preserve"> This is based on ACLU principles prepared for group</w:t>
      </w:r>
    </w:p>
  </w:footnote>
  <w:footnote w:id="3">
    <w:p w14:paraId="171E0564" w14:textId="5F8493A9" w:rsidR="00DC0C72" w:rsidRPr="00C34A12" w:rsidRDefault="00DC0C72">
      <w:pPr>
        <w:pStyle w:val="FootnoteText"/>
        <w:rPr>
          <w:rFonts w:ascii="Calibri" w:hAnsi="Calibri"/>
          <w:sz w:val="20"/>
        </w:rPr>
      </w:pPr>
      <w:r w:rsidRPr="00C34A12">
        <w:rPr>
          <w:rStyle w:val="FootnoteReference"/>
          <w:rFonts w:ascii="Calibri" w:hAnsi="Calibri"/>
          <w:sz w:val="20"/>
        </w:rPr>
        <w:footnoteRef/>
      </w:r>
      <w:r w:rsidRPr="00C34A12">
        <w:rPr>
          <w:rFonts w:ascii="Calibri" w:hAnsi="Calibri"/>
          <w:sz w:val="20"/>
        </w:rPr>
        <w:t xml:space="preserve"> Submitted by Michelle </w:t>
      </w:r>
      <w:proofErr w:type="spellStart"/>
      <w:r w:rsidRPr="00C34A12">
        <w:rPr>
          <w:rFonts w:ascii="Calibri" w:hAnsi="Calibri"/>
          <w:sz w:val="20"/>
        </w:rPr>
        <w:t>DeMoy</w:t>
      </w:r>
      <w:proofErr w:type="spellEnd"/>
      <w:r w:rsidRPr="00C34A12">
        <w:rPr>
          <w:rFonts w:ascii="Calibri" w:hAnsi="Calibri"/>
          <w:sz w:val="20"/>
        </w:rPr>
        <w:t xml:space="preserve"> of CDT</w:t>
      </w:r>
    </w:p>
  </w:footnote>
  <w:footnote w:id="4">
    <w:p w14:paraId="2D2489FF" w14:textId="4997CFA4" w:rsidR="00DC0C72" w:rsidRPr="00C34A12" w:rsidRDefault="00DC0C72">
      <w:pPr>
        <w:pStyle w:val="FootnoteText"/>
        <w:rPr>
          <w:rFonts w:ascii="Calibri" w:hAnsi="Calibri"/>
          <w:sz w:val="20"/>
        </w:rPr>
      </w:pPr>
      <w:r w:rsidRPr="00C34A12">
        <w:rPr>
          <w:rStyle w:val="FootnoteReference"/>
          <w:rFonts w:ascii="Calibri" w:hAnsi="Calibri"/>
          <w:sz w:val="20"/>
        </w:rPr>
        <w:footnoteRef/>
      </w:r>
      <w:r w:rsidRPr="00C34A12">
        <w:rPr>
          <w:rFonts w:ascii="Calibri" w:hAnsi="Calibri"/>
          <w:sz w:val="20"/>
        </w:rPr>
        <w:t xml:space="preserve"> This is because different data is treated differently.  If it is just hair color it might receive a lower protection than iris</w:t>
      </w:r>
      <w:r>
        <w:rPr>
          <w:rFonts w:ascii="Calibri" w:hAnsi="Calibri"/>
          <w:sz w:val="20"/>
        </w:rPr>
        <w:t>.</w:t>
      </w:r>
    </w:p>
  </w:footnote>
  <w:footnote w:id="5">
    <w:p w14:paraId="00C9FDEB" w14:textId="482B721B" w:rsidR="00DC0C72" w:rsidRPr="00C34A12" w:rsidRDefault="00DC0C72">
      <w:pPr>
        <w:pStyle w:val="FootnoteText"/>
        <w:rPr>
          <w:rFonts w:ascii="Calibri" w:hAnsi="Calibri"/>
          <w:sz w:val="20"/>
        </w:rPr>
      </w:pPr>
      <w:r w:rsidRPr="00C34A12">
        <w:rPr>
          <w:rStyle w:val="FootnoteReference"/>
          <w:rFonts w:ascii="Calibri" w:hAnsi="Calibri"/>
          <w:sz w:val="20"/>
        </w:rPr>
        <w:footnoteRef/>
      </w:r>
      <w:r w:rsidRPr="00C34A12">
        <w:rPr>
          <w:rFonts w:ascii="Calibri" w:hAnsi="Calibri"/>
          <w:sz w:val="20"/>
        </w:rPr>
        <w:t xml:space="preserve"> Submitted by Michelle </w:t>
      </w:r>
      <w:proofErr w:type="spellStart"/>
      <w:r w:rsidRPr="00C34A12">
        <w:rPr>
          <w:rFonts w:ascii="Calibri" w:hAnsi="Calibri"/>
          <w:sz w:val="20"/>
        </w:rPr>
        <w:t>DeMoy</w:t>
      </w:r>
      <w:proofErr w:type="spellEnd"/>
      <w:r w:rsidRPr="00C34A12">
        <w:rPr>
          <w:rFonts w:ascii="Calibri" w:hAnsi="Calibri"/>
          <w:sz w:val="20"/>
        </w:rPr>
        <w:t xml:space="preserve"> of CDT</w:t>
      </w:r>
    </w:p>
  </w:footnote>
  <w:footnote w:id="6">
    <w:p w14:paraId="76D69F77" w14:textId="21CD6BC1" w:rsidR="00DC0C72" w:rsidRPr="00C34A12" w:rsidRDefault="00DC0C72">
      <w:pPr>
        <w:pStyle w:val="FootnoteText"/>
        <w:rPr>
          <w:rFonts w:ascii="Calibri" w:hAnsi="Calibri"/>
          <w:sz w:val="20"/>
        </w:rPr>
      </w:pPr>
      <w:r w:rsidRPr="00C34A12">
        <w:rPr>
          <w:rStyle w:val="FootnoteReference"/>
          <w:rFonts w:ascii="Calibri" w:hAnsi="Calibri"/>
          <w:sz w:val="20"/>
        </w:rPr>
        <w:footnoteRef/>
      </w:r>
      <w:r w:rsidRPr="00C34A12">
        <w:rPr>
          <w:rFonts w:ascii="Calibri" w:hAnsi="Calibri"/>
          <w:sz w:val="20"/>
        </w:rPr>
        <w:t xml:space="preserve"> Submitted by Michelle </w:t>
      </w:r>
      <w:proofErr w:type="spellStart"/>
      <w:r w:rsidRPr="00C34A12">
        <w:rPr>
          <w:rFonts w:ascii="Calibri" w:hAnsi="Calibri"/>
          <w:sz w:val="20"/>
        </w:rPr>
        <w:t>DeMoy</w:t>
      </w:r>
      <w:proofErr w:type="spellEnd"/>
      <w:r w:rsidRPr="00C34A12">
        <w:rPr>
          <w:rFonts w:ascii="Calibri" w:hAnsi="Calibri"/>
          <w:sz w:val="20"/>
        </w:rPr>
        <w:t xml:space="preserve"> of CDT – Wisconsin – Wis. Stat. § 134.98</w:t>
      </w:r>
    </w:p>
  </w:footnote>
  <w:footnote w:id="7">
    <w:p w14:paraId="65D8E0E5" w14:textId="70B90A10" w:rsidR="00DC0C72" w:rsidRPr="00C34A12" w:rsidRDefault="00DC0C72">
      <w:pPr>
        <w:pStyle w:val="FootnoteText"/>
        <w:rPr>
          <w:rFonts w:ascii="Calibri" w:hAnsi="Calibri"/>
          <w:sz w:val="20"/>
        </w:rPr>
      </w:pPr>
      <w:r w:rsidRPr="00C34A12">
        <w:rPr>
          <w:rStyle w:val="FootnoteReference"/>
          <w:rFonts w:ascii="Calibri" w:hAnsi="Calibri"/>
          <w:sz w:val="20"/>
        </w:rPr>
        <w:footnoteRef/>
      </w:r>
      <w:r w:rsidRPr="00C34A12">
        <w:rPr>
          <w:rFonts w:ascii="Calibri" w:hAnsi="Calibri"/>
          <w:sz w:val="20"/>
        </w:rPr>
        <w:t xml:space="preserve"> Submitted by Michelle </w:t>
      </w:r>
      <w:proofErr w:type="spellStart"/>
      <w:r w:rsidRPr="00C34A12">
        <w:rPr>
          <w:rFonts w:ascii="Calibri" w:hAnsi="Calibri"/>
          <w:sz w:val="20"/>
        </w:rPr>
        <w:t>DeMoy</w:t>
      </w:r>
      <w:proofErr w:type="spellEnd"/>
      <w:r w:rsidRPr="00C34A12">
        <w:rPr>
          <w:rFonts w:ascii="Calibri" w:hAnsi="Calibri"/>
          <w:sz w:val="20"/>
        </w:rPr>
        <w:t xml:space="preserve"> of CDT</w:t>
      </w:r>
    </w:p>
  </w:footnote>
  <w:footnote w:id="8">
    <w:p w14:paraId="6D406427" w14:textId="305ADC6D" w:rsidR="00DC0C72" w:rsidRPr="00C34A12" w:rsidRDefault="00DC0C72">
      <w:pPr>
        <w:pStyle w:val="FootnoteText"/>
        <w:rPr>
          <w:rFonts w:ascii="Calibri" w:hAnsi="Calibri"/>
          <w:sz w:val="20"/>
        </w:rPr>
      </w:pPr>
      <w:r w:rsidRPr="00C34A12">
        <w:rPr>
          <w:rStyle w:val="FootnoteReference"/>
          <w:rFonts w:ascii="Calibri" w:hAnsi="Calibri"/>
          <w:sz w:val="20"/>
        </w:rPr>
        <w:footnoteRef/>
      </w:r>
      <w:r w:rsidRPr="00C34A12">
        <w:rPr>
          <w:rFonts w:ascii="Calibri" w:hAnsi="Calibri"/>
          <w:sz w:val="20"/>
        </w:rPr>
        <w:t xml:space="preserve"> See e.g. CA </w:t>
      </w:r>
      <w:r w:rsidRPr="00C34A12">
        <w:rPr>
          <w:rFonts w:ascii="Calibri" w:hAnsi="Calibri"/>
          <w:bCs/>
          <w:sz w:val="20"/>
        </w:rPr>
        <w:t xml:space="preserve">CIVIL CODE § 1798.80-1798.84 </w:t>
      </w:r>
      <w:r w:rsidRPr="00C34A12">
        <w:rPr>
          <w:rFonts w:ascii="Calibri" w:hAnsi="Calibri"/>
          <w:sz w:val="20"/>
        </w:rPr>
        <w:t xml:space="preserve">“when either the name or the data elements are </w:t>
      </w:r>
      <w:r w:rsidRPr="00C34A12">
        <w:rPr>
          <w:rFonts w:ascii="Calibri" w:hAnsi="Calibri"/>
          <w:i/>
          <w:sz w:val="20"/>
          <w:u w:val="single"/>
        </w:rPr>
        <w:t>not</w:t>
      </w:r>
      <w:r w:rsidRPr="00C34A12">
        <w:rPr>
          <w:rFonts w:ascii="Calibri" w:hAnsi="Calibri"/>
          <w:i/>
          <w:sz w:val="20"/>
        </w:rPr>
        <w:t xml:space="preserve"> </w:t>
      </w:r>
      <w:r w:rsidRPr="00C34A12">
        <w:rPr>
          <w:rFonts w:ascii="Calibri" w:hAnsi="Calibri"/>
          <w:sz w:val="20"/>
        </w:rPr>
        <w:t>encrypted or redacted” (emphasis added)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697D"/>
    <w:multiLevelType w:val="hybridMultilevel"/>
    <w:tmpl w:val="AA76E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245C0"/>
    <w:multiLevelType w:val="hybridMultilevel"/>
    <w:tmpl w:val="359A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B0F24"/>
    <w:multiLevelType w:val="hybridMultilevel"/>
    <w:tmpl w:val="1324B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66"/>
    <w:rsid w:val="00103016"/>
    <w:rsid w:val="003254F3"/>
    <w:rsid w:val="00336151"/>
    <w:rsid w:val="00383A03"/>
    <w:rsid w:val="00383B5E"/>
    <w:rsid w:val="00503E6E"/>
    <w:rsid w:val="00880566"/>
    <w:rsid w:val="00960B91"/>
    <w:rsid w:val="00982466"/>
    <w:rsid w:val="009E7FC0"/>
    <w:rsid w:val="00A07EA3"/>
    <w:rsid w:val="00B60E12"/>
    <w:rsid w:val="00BC7119"/>
    <w:rsid w:val="00C34A12"/>
    <w:rsid w:val="00C83EC5"/>
    <w:rsid w:val="00CA610F"/>
    <w:rsid w:val="00DC0C72"/>
    <w:rsid w:val="00DC36D5"/>
    <w:rsid w:val="00E8674F"/>
    <w:rsid w:val="00FC187C"/>
    <w:rsid w:val="00F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F236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E12"/>
    <w:pPr>
      <w:spacing w:after="120"/>
      <w:jc w:val="center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E12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6151"/>
    <w:pPr>
      <w:keepNext/>
      <w:keepLines/>
      <w:spacing w:before="360" w:after="12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A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A0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8056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80566"/>
    <w:rPr>
      <w:rFonts w:ascii="Times New Roman" w:hAnsi="Times New Roman" w:cs="Times New Roman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0566"/>
    <w:rPr>
      <w:rFonts w:ascii="Times New Roman" w:hAnsi="Times New Roman" w:cs="Times New Roman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88056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3254F3"/>
  </w:style>
  <w:style w:type="character" w:customStyle="1" w:styleId="EndnoteTextChar">
    <w:name w:val="Endnote Text Char"/>
    <w:basedOn w:val="DefaultParagraphFont"/>
    <w:link w:val="EndnoteText"/>
    <w:uiPriority w:val="99"/>
    <w:rsid w:val="003254F3"/>
  </w:style>
  <w:style w:type="character" w:styleId="EndnoteReference">
    <w:name w:val="endnote reference"/>
    <w:basedOn w:val="DefaultParagraphFont"/>
    <w:uiPriority w:val="99"/>
    <w:unhideWhenUsed/>
    <w:rsid w:val="003254F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60E12"/>
    <w:rPr>
      <w:rFonts w:eastAsiaTheme="majorEastAsia" w:cstheme="majorBidi"/>
      <w:b/>
      <w:bCs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B60E12"/>
    <w:rPr>
      <w:b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36151"/>
    <w:rPr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E12"/>
    <w:pPr>
      <w:spacing w:after="120"/>
      <w:jc w:val="center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E12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6151"/>
    <w:pPr>
      <w:keepNext/>
      <w:keepLines/>
      <w:spacing w:before="360" w:after="12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A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A0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8056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80566"/>
    <w:rPr>
      <w:rFonts w:ascii="Times New Roman" w:hAnsi="Times New Roman" w:cs="Times New Roman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0566"/>
    <w:rPr>
      <w:rFonts w:ascii="Times New Roman" w:hAnsi="Times New Roman" w:cs="Times New Roman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88056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3254F3"/>
  </w:style>
  <w:style w:type="character" w:customStyle="1" w:styleId="EndnoteTextChar">
    <w:name w:val="Endnote Text Char"/>
    <w:basedOn w:val="DefaultParagraphFont"/>
    <w:link w:val="EndnoteText"/>
    <w:uiPriority w:val="99"/>
    <w:rsid w:val="003254F3"/>
  </w:style>
  <w:style w:type="character" w:styleId="EndnoteReference">
    <w:name w:val="endnote reference"/>
    <w:basedOn w:val="DefaultParagraphFont"/>
    <w:uiPriority w:val="99"/>
    <w:unhideWhenUsed/>
    <w:rsid w:val="003254F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60E12"/>
    <w:rPr>
      <w:rFonts w:eastAsiaTheme="majorEastAsia" w:cstheme="majorBidi"/>
      <w:b/>
      <w:bCs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B60E12"/>
    <w:rPr>
      <w:b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36151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Stakeholder Issue No. 11(a)</vt:lpstr>
      <vt:lpstr>    Should the code define Secure Storage of Information? Should context matter and,</vt:lpstr>
      <vt:lpstr>    How should the code address transmission of Facial Recognition Data?</vt:lpstr>
      <vt:lpstr>Stakeholder Issue No. 12</vt:lpstr>
      <vt:lpstr>    Risk: Security: commercial facial recognition data could be subject to data brea</vt:lpstr>
      <vt:lpstr>        Which entities would be best situated to provide for security?</vt:lpstr>
      <vt:lpstr>        What data should be subject to security obligations in the code?</vt:lpstr>
      <vt:lpstr>        Most states currently have breach notification laws. Should the code impose addi</vt:lpstr>
      <vt:lpstr>        Are there contexts in which the code should require encryption of Facial Recogni</vt:lpstr>
      <vt:lpstr>        Should the code distinguish between unencrypted data and those that are Encrypte</vt:lpstr>
      <vt:lpstr>        Would treating Encrypted data as not triggering a material risk of harm provide </vt:lpstr>
    </vt:vector>
  </TitlesOfParts>
  <Manager/>
  <Company/>
  <LinksUpToDate>false</LinksUpToDate>
  <CharactersWithSpaces>4521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John Verdi</cp:lastModifiedBy>
  <cp:revision>13</cp:revision>
  <cp:lastPrinted>2014-12-12T18:41:00Z</cp:lastPrinted>
  <dcterms:created xsi:type="dcterms:W3CDTF">2014-12-12T18:37:00Z</dcterms:created>
  <dcterms:modified xsi:type="dcterms:W3CDTF">2014-12-12T19:29:00Z</dcterms:modified>
  <cp:category/>
</cp:coreProperties>
</file>